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C9312">
      <w:pPr>
        <w:jc w:val="center"/>
        <w:textAlignment w:val="center"/>
        <w:rPr>
          <w:rFonts w:ascii="宋体" w:hAnsi="宋体" w:eastAsia="宋体" w:cs="宋体"/>
          <w:b/>
          <w:i w:val="0"/>
          <w:sz w:val="30"/>
        </w:rPr>
      </w:pPr>
      <w:r>
        <w:rPr>
          <w:rFonts w:ascii="宋体" w:hAnsi="宋体" w:eastAsia="宋体" w:cs="宋体"/>
          <w:b/>
          <w:i w:val="0"/>
          <w:sz w:val="30"/>
        </w:rPr>
        <w:drawing>
          <wp:anchor distT="0" distB="0" distL="114300" distR="114300" simplePos="0" relativeHeight="251659264" behindDoc="0" locked="0" layoutInCell="1" allowOverlap="1">
            <wp:simplePos x="0" y="0"/>
            <wp:positionH relativeFrom="page">
              <wp:posOffset>12484100</wp:posOffset>
            </wp:positionH>
            <wp:positionV relativeFrom="topMargin">
              <wp:posOffset>12649200</wp:posOffset>
            </wp:positionV>
            <wp:extent cx="406400" cy="406400"/>
            <wp:effectExtent l="0" t="0" r="12700" b="1270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10"/>
                    <a:stretch>
                      <a:fillRect/>
                    </a:stretch>
                  </pic:blipFill>
                  <pic:spPr>
                    <a:xfrm>
                      <a:off x="0" y="0"/>
                      <a:ext cx="406400" cy="406400"/>
                    </a:xfrm>
                    <a:prstGeom prst="rect">
                      <a:avLst/>
                    </a:prstGeom>
                  </pic:spPr>
                </pic:pic>
              </a:graphicData>
            </a:graphic>
          </wp:anchor>
        </w:drawing>
      </w: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1"/>
                    <a:stretch>
                      <a:fillRect/>
                    </a:stretch>
                  </pic:blipFill>
                  <pic:spPr>
                    <a:xfrm>
                      <a:off x="0" y="0"/>
                      <a:ext cx="12700" cy="12700"/>
                    </a:xfrm>
                    <a:prstGeom prst="rect">
                      <a:avLst/>
                    </a:prstGeom>
                  </pic:spPr>
                </pic:pic>
              </a:graphicData>
            </a:graphic>
          </wp:inline>
        </w:drawing>
      </w:r>
      <w:r>
        <w:rPr>
          <w:rFonts w:ascii="宋体" w:hAnsi="宋体" w:eastAsia="宋体" w:cs="宋体"/>
          <w:b/>
          <w:i w:val="0"/>
          <w:sz w:val="30"/>
        </w:rPr>
        <w:t>第二课 我国的社会主义市场经济体制</w:t>
      </w:r>
    </w:p>
    <w:p w14:paraId="4590C4D9">
      <w:pPr>
        <w:jc w:val="left"/>
        <w:textAlignment w:val="center"/>
        <w:rPr>
          <w:rFonts w:ascii="宋体" w:hAnsi="宋体" w:eastAsia="宋体" w:cs="宋体"/>
          <w:b/>
          <w:i w:val="0"/>
          <w:sz w:val="21"/>
        </w:rPr>
      </w:pPr>
      <w:r>
        <w:rPr>
          <w:rFonts w:ascii="宋体" w:hAnsi="宋体" w:eastAsia="宋体" w:cs="宋体"/>
          <w:b/>
          <w:i w:val="0"/>
          <w:sz w:val="21"/>
        </w:rPr>
        <w:t>一、单选题</w:t>
      </w:r>
    </w:p>
    <w:p w14:paraId="72388EC0">
      <w:pPr>
        <w:shd w:val="clear" w:color="auto" w:fill="FFFFFF"/>
        <w:spacing w:line="360" w:lineRule="auto"/>
        <w:jc w:val="left"/>
        <w:textAlignment w:val="center"/>
      </w:pPr>
      <w:r>
        <w:t>1．民营经济突破了千亿元的关口，外资百家公司突破了十亿元……这些醒目的数据2021年云南省民营经济的发展状况。这是一份攻坚克难、振奋人心、来之不易的成绩。这份成绩的背后可能是云南省政府（</w:t>
      </w:r>
      <w:r>
        <w:rPr>
          <w:rFonts w:ascii="Times New Roman" w:hAnsi="Times New Roman" w:eastAsia="Times New Roman" w:cs="Times New Roman"/>
          <w:kern w:val="0"/>
          <w:sz w:val="24"/>
          <w:szCs w:val="24"/>
        </w:rPr>
        <w:t>   </w:t>
      </w:r>
      <w:r>
        <w:t>）</w:t>
      </w:r>
    </w:p>
    <w:p w14:paraId="33E4F6C8">
      <w:pPr>
        <w:shd w:val="clear" w:color="auto" w:fill="FFFFFF"/>
        <w:spacing w:line="360" w:lineRule="auto"/>
        <w:jc w:val="left"/>
        <w:textAlignment w:val="center"/>
      </w:pPr>
      <w:r>
        <w:t>①保证民营经济优先使用省内各种资源要素</w:t>
      </w:r>
    </w:p>
    <w:p w14:paraId="68E4D278">
      <w:pPr>
        <w:shd w:val="clear" w:color="auto" w:fill="FFFFFF"/>
        <w:spacing w:line="360" w:lineRule="auto"/>
        <w:jc w:val="left"/>
        <w:textAlignment w:val="center"/>
      </w:pPr>
      <w:r>
        <w:t>②民营企业家坚持回报社会，积极承担社会责任</w:t>
      </w:r>
    </w:p>
    <w:p w14:paraId="59905415">
      <w:pPr>
        <w:shd w:val="clear" w:color="auto" w:fill="FFFFFF"/>
        <w:spacing w:line="360" w:lineRule="auto"/>
        <w:jc w:val="left"/>
        <w:textAlignment w:val="center"/>
      </w:pPr>
      <w:r>
        <w:t>③为民营企业营造高质量发展的制度环境</w:t>
      </w:r>
    </w:p>
    <w:p w14:paraId="1CCBB845">
      <w:pPr>
        <w:shd w:val="clear" w:color="auto" w:fill="FFFFFF"/>
        <w:spacing w:line="360" w:lineRule="auto"/>
        <w:jc w:val="left"/>
        <w:textAlignment w:val="center"/>
      </w:pPr>
      <w:r>
        <w:t>④积极健全促进民营经济发展的法治环境</w:t>
      </w:r>
    </w:p>
    <w:p w14:paraId="4617CC4C">
      <w:pPr>
        <w:shd w:val="clear" w:color="auto" w:fill="FFFFFF"/>
        <w:tabs>
          <w:tab w:val="left" w:pos="2078"/>
          <w:tab w:val="left" w:pos="4156"/>
          <w:tab w:val="left" w:pos="6234"/>
        </w:tabs>
        <w:spacing w:line="360" w:lineRule="auto"/>
        <w:ind w:left="300"/>
        <w:jc w:val="left"/>
        <w:textAlignment w:val="center"/>
      </w:pPr>
      <w:r>
        <w:t>A．①②</w:t>
      </w:r>
      <w:r>
        <w:tab/>
      </w:r>
      <w:r>
        <w:t>B．①③</w:t>
      </w:r>
      <w:r>
        <w:tab/>
      </w:r>
      <w:r>
        <w:t>C．②④</w:t>
      </w:r>
      <w:r>
        <w:tab/>
      </w:r>
      <w:r>
        <w:t>D．③④</w:t>
      </w:r>
    </w:p>
    <w:p w14:paraId="06B8B14D">
      <w:pPr>
        <w:shd w:val="clear" w:color="auto" w:fill="FFFFFF"/>
        <w:spacing w:line="360" w:lineRule="auto"/>
        <w:jc w:val="left"/>
        <w:textAlignment w:val="center"/>
      </w:pPr>
      <w:r>
        <w:t>2．作为一个新兴行业，陪诊同样存在许多需要规范的方面，比如，准入门槛、服务和收费标准、纠纷处理和权益保障等。为此，政府应该（</w:t>
      </w:r>
      <w:r>
        <w:rPr>
          <w:rFonts w:ascii="Times New Roman" w:hAnsi="Times New Roman" w:eastAsia="Times New Roman" w:cs="Times New Roman"/>
          <w:kern w:val="0"/>
          <w:sz w:val="24"/>
          <w:szCs w:val="24"/>
        </w:rPr>
        <w:t>   </w:t>
      </w:r>
      <w:r>
        <w:t>）</w:t>
      </w:r>
    </w:p>
    <w:p w14:paraId="0E8CB05C">
      <w:pPr>
        <w:shd w:val="clear" w:color="auto" w:fill="FFFFFF"/>
        <w:spacing w:line="360" w:lineRule="auto"/>
        <w:jc w:val="left"/>
        <w:textAlignment w:val="center"/>
      </w:pPr>
      <w:r>
        <w:t>①加大行政处罚力度，更好地实现为人民服务</w:t>
      </w:r>
    </w:p>
    <w:p w14:paraId="0DFD5234">
      <w:pPr>
        <w:shd w:val="clear" w:color="auto" w:fill="FFFFFF"/>
        <w:spacing w:line="360" w:lineRule="auto"/>
        <w:jc w:val="left"/>
        <w:textAlignment w:val="center"/>
      </w:pPr>
      <w:r>
        <w:t>②充分尊重市场力量，主要依靠市场解决问题</w:t>
      </w:r>
    </w:p>
    <w:p w14:paraId="2945596A">
      <w:pPr>
        <w:shd w:val="clear" w:color="auto" w:fill="FFFFFF"/>
        <w:spacing w:line="360" w:lineRule="auto"/>
        <w:jc w:val="left"/>
        <w:textAlignment w:val="center"/>
      </w:pPr>
      <w:r>
        <w:t>③做好市场监管，积极引导陪诊行业规范发展</w:t>
      </w:r>
    </w:p>
    <w:p w14:paraId="1AACA70C">
      <w:pPr>
        <w:shd w:val="clear" w:color="auto" w:fill="FFFFFF"/>
        <w:spacing w:line="360" w:lineRule="auto"/>
        <w:jc w:val="left"/>
        <w:textAlignment w:val="center"/>
      </w:pPr>
      <w:r>
        <w:t>④坚持法治理念，通过司法来规范市场主体</w:t>
      </w:r>
    </w:p>
    <w:p w14:paraId="2CB42A15">
      <w:pPr>
        <w:shd w:val="clear" w:color="auto" w:fill="FFFFFF"/>
        <w:tabs>
          <w:tab w:val="left" w:pos="2078"/>
          <w:tab w:val="left" w:pos="4156"/>
          <w:tab w:val="left" w:pos="6234"/>
        </w:tabs>
        <w:spacing w:line="360" w:lineRule="auto"/>
        <w:ind w:left="300"/>
        <w:jc w:val="left"/>
        <w:textAlignment w:val="center"/>
      </w:pPr>
      <w:r>
        <w:t>A．①②</w:t>
      </w:r>
      <w:r>
        <w:tab/>
      </w:r>
      <w:r>
        <w:t>B．①③</w:t>
      </w:r>
      <w:r>
        <w:tab/>
      </w:r>
      <w:r>
        <w:t>C．②④</w:t>
      </w:r>
      <w:r>
        <w:tab/>
      </w:r>
      <w:r>
        <w:t>D．③④</w:t>
      </w:r>
    </w:p>
    <w:p w14:paraId="5CA96D26">
      <w:pPr>
        <w:shd w:val="clear" w:color="auto" w:fill="FFFFFF"/>
        <w:spacing w:line="360" w:lineRule="auto"/>
        <w:jc w:val="left"/>
        <w:textAlignment w:val="center"/>
      </w:pPr>
      <w:r>
        <w:t>3．“寓学于行、寓学于游”的研学游，本质上是一种体验式学习，近年来备受家长与学生青睐，假期研学游更是火爆。然而，有的研学游产品价格注水、服务缩水，有的产品服务人员专业资质存疑，不仅无研无学，也玩不痛快，有时还存在安全隐患。研学游暴露出来的问题警示（</w:t>
      </w:r>
      <w:r>
        <w:rPr>
          <w:rFonts w:ascii="Times New Roman" w:hAnsi="Times New Roman" w:eastAsia="Times New Roman" w:cs="Times New Roman"/>
          <w:kern w:val="0"/>
          <w:sz w:val="24"/>
          <w:szCs w:val="24"/>
        </w:rPr>
        <w:t>   </w:t>
      </w:r>
      <w:r>
        <w:t>）</w:t>
      </w:r>
    </w:p>
    <w:p w14:paraId="2467BDE8">
      <w:pPr>
        <w:shd w:val="clear" w:color="auto" w:fill="FFFFFF"/>
        <w:spacing w:line="360" w:lineRule="auto"/>
        <w:ind w:left="300"/>
        <w:jc w:val="left"/>
        <w:textAlignment w:val="center"/>
      </w:pPr>
      <w:r>
        <w:t>A．文旅、教育等部门应加强市场监管，主导研学游产品市场</w:t>
      </w:r>
    </w:p>
    <w:p w14:paraId="73B25D2B">
      <w:pPr>
        <w:shd w:val="clear" w:color="auto" w:fill="FFFFFF"/>
        <w:spacing w:line="360" w:lineRule="auto"/>
        <w:ind w:left="300"/>
        <w:jc w:val="left"/>
        <w:textAlignment w:val="center"/>
      </w:pPr>
      <w:r>
        <w:t>B．政府应规范市场准入制度，提高机构和从业人员准入门槛</w:t>
      </w:r>
    </w:p>
    <w:p w14:paraId="67ACA4A8">
      <w:pPr>
        <w:shd w:val="clear" w:color="auto" w:fill="FFFFFF"/>
        <w:spacing w:line="360" w:lineRule="auto"/>
        <w:ind w:left="300"/>
        <w:jc w:val="left"/>
        <w:textAlignment w:val="center"/>
      </w:pPr>
      <w:r>
        <w:t>C．研学游机构应该在把经济效益放在首位的同时，提升服务水平</w:t>
      </w:r>
    </w:p>
    <w:p w14:paraId="7B409623">
      <w:pPr>
        <w:shd w:val="clear" w:color="auto" w:fill="FFFFFF"/>
        <w:spacing w:line="360" w:lineRule="auto"/>
        <w:ind w:left="300"/>
        <w:jc w:val="left"/>
        <w:textAlignment w:val="center"/>
      </w:pPr>
      <w:r>
        <w:t>D．学生、家长应慎重选择研学游产品，错峰出行，避免盲目跟风</w:t>
      </w:r>
    </w:p>
    <w:p w14:paraId="69AF7C08">
      <w:pPr>
        <w:shd w:val="clear" w:color="auto" w:fill="FFFFFF"/>
        <w:spacing w:line="360" w:lineRule="auto"/>
        <w:jc w:val="left"/>
        <w:textAlignment w:val="center"/>
      </w:pPr>
      <w:r>
        <w:t>4．经济学中从众效应是指市场上存在那些没有形成自己的预期或没有获得一手信息的投资者，他们根据其他投资者的行为来改变自己的行为，全然不顾前面可能有的危险。市场经济中的“从众效应”表现为市场调节的(</w:t>
      </w:r>
      <w:r>
        <w:rPr>
          <w:rFonts w:ascii="Times New Roman" w:hAnsi="Times New Roman" w:eastAsia="Times New Roman" w:cs="Times New Roman"/>
          <w:kern w:val="0"/>
          <w:sz w:val="24"/>
          <w:szCs w:val="24"/>
        </w:rPr>
        <w:t>   </w:t>
      </w:r>
      <w:r>
        <w:t>)</w:t>
      </w:r>
    </w:p>
    <w:p w14:paraId="75F710CC">
      <w:pPr>
        <w:shd w:val="clear" w:color="auto" w:fill="FFFFFF"/>
        <w:spacing w:line="360" w:lineRule="auto"/>
        <w:ind w:left="300"/>
        <w:jc w:val="left"/>
        <w:textAlignment w:val="center"/>
      </w:pPr>
      <w:r>
        <w:t>A．自发性</w:t>
      </w:r>
    </w:p>
    <w:p w14:paraId="202A99FE">
      <w:pPr>
        <w:shd w:val="clear" w:color="auto" w:fill="FFFFFF"/>
        <w:spacing w:line="360" w:lineRule="auto"/>
        <w:ind w:left="300"/>
        <w:jc w:val="left"/>
        <w:textAlignment w:val="center"/>
      </w:pPr>
      <w:r>
        <w:t>B．竞争性</w:t>
      </w:r>
    </w:p>
    <w:p w14:paraId="7D2A69EC">
      <w:pPr>
        <w:shd w:val="clear" w:color="auto" w:fill="FFFFFF"/>
        <w:spacing w:line="360" w:lineRule="auto"/>
        <w:ind w:left="300"/>
        <w:jc w:val="left"/>
        <w:textAlignment w:val="center"/>
      </w:pPr>
      <w:r>
        <w:t>C．滞后性</w:t>
      </w:r>
    </w:p>
    <w:p w14:paraId="50C2578C">
      <w:pPr>
        <w:shd w:val="clear" w:color="auto" w:fill="FFFFFF"/>
        <w:spacing w:line="360" w:lineRule="auto"/>
        <w:ind w:left="300"/>
        <w:jc w:val="left"/>
        <w:textAlignment w:val="center"/>
      </w:pPr>
      <w:r>
        <w:t>D．盲目性</w:t>
      </w:r>
    </w:p>
    <w:p w14:paraId="12E90B19">
      <w:pPr>
        <w:shd w:val="clear" w:color="auto" w:fill="FFFFFF"/>
        <w:spacing w:line="360" w:lineRule="auto"/>
        <w:jc w:val="left"/>
        <w:textAlignment w:val="center"/>
      </w:pPr>
      <w:r>
        <w:t>5．2023年，全国多个城市对房贷利率、贷款额度、限贷限购、契税补贴等房地产调控政策进行调整。下列促进楼市健康发展的措施是（</w:t>
      </w:r>
      <w:r>
        <w:rPr>
          <w:rFonts w:ascii="Times New Roman" w:hAnsi="Times New Roman" w:eastAsia="Times New Roman" w:cs="Times New Roman"/>
          <w:kern w:val="0"/>
          <w:sz w:val="24"/>
          <w:szCs w:val="24"/>
        </w:rPr>
        <w:t>   </w:t>
      </w:r>
      <w:r>
        <w:t>）</w:t>
      </w:r>
    </w:p>
    <w:p w14:paraId="56E89BF6">
      <w:pPr>
        <w:shd w:val="clear" w:color="auto" w:fill="FFFFFF"/>
        <w:spacing w:line="360" w:lineRule="auto"/>
        <w:ind w:left="300"/>
        <w:jc w:val="left"/>
        <w:textAlignment w:val="center"/>
      </w:pPr>
      <w:r>
        <w:t>A．放宽住房限贷、限购政策，释放改善性住房需求消化房产库存</w:t>
      </w:r>
    </w:p>
    <w:p w14:paraId="734BD129">
      <w:pPr>
        <w:shd w:val="clear" w:color="auto" w:fill="FFFFFF"/>
        <w:spacing w:line="360" w:lineRule="auto"/>
        <w:ind w:left="300"/>
        <w:jc w:val="left"/>
        <w:textAlignment w:val="center"/>
      </w:pPr>
      <w:r>
        <w:t>B．降低购买首套房首付比例，帮助刚性购房需求者降低购房成本</w:t>
      </w:r>
    </w:p>
    <w:p w14:paraId="03D98976">
      <w:pPr>
        <w:shd w:val="clear" w:color="auto" w:fill="FFFFFF"/>
        <w:spacing w:line="360" w:lineRule="auto"/>
        <w:ind w:left="300"/>
        <w:jc w:val="left"/>
        <w:textAlignment w:val="center"/>
      </w:pPr>
      <w:r>
        <w:t>C．给多孩家庭适当契税补贴，刺激市场需求降低房地产行业风险</w:t>
      </w:r>
    </w:p>
    <w:p w14:paraId="5F8CF23F">
      <w:pPr>
        <w:shd w:val="clear" w:color="auto" w:fill="FFFFFF"/>
        <w:spacing w:line="360" w:lineRule="auto"/>
        <w:ind w:left="300"/>
        <w:jc w:val="left"/>
        <w:textAlignment w:val="center"/>
      </w:pPr>
      <w:r>
        <w:t>D．降低购买首套房首付比例，提升房地产的上下游企业盈利能力</w:t>
      </w:r>
    </w:p>
    <w:p w14:paraId="5813F9B0">
      <w:pPr>
        <w:shd w:val="clear" w:color="auto" w:fill="FFFFFF"/>
        <w:spacing w:line="360" w:lineRule="auto"/>
        <w:jc w:val="left"/>
        <w:textAlignment w:val="center"/>
      </w:pPr>
      <w:r>
        <w:t>6．公共数据是各级党政机关、企事业单位依法履职或提供公共服务过程中产生的数据类型，具有权威性、基础性、可控性、公益性等特点。“取之于民，用之于民”,某地公共数据开放平台已向社会开放了大量公共数据。下列认识正确的是（</w:t>
      </w:r>
      <w:r>
        <w:rPr>
          <w:rFonts w:ascii="Times New Roman" w:hAnsi="Times New Roman" w:eastAsia="Times New Roman" w:cs="Times New Roman"/>
          <w:kern w:val="0"/>
          <w:sz w:val="24"/>
          <w:szCs w:val="24"/>
        </w:rPr>
        <w:t>   </w:t>
      </w:r>
      <w:r>
        <w:t>）</w:t>
      </w:r>
    </w:p>
    <w:p w14:paraId="2A9751E0">
      <w:pPr>
        <w:shd w:val="clear" w:color="auto" w:fill="FFFFFF"/>
        <w:spacing w:line="360" w:lineRule="auto"/>
        <w:ind w:left="300"/>
        <w:jc w:val="left"/>
        <w:textAlignment w:val="center"/>
      </w:pPr>
      <w:r>
        <w:t>A．开放公共数据会降低数据资源的价值</w:t>
      </w:r>
    </w:p>
    <w:p w14:paraId="6BEAA2B0">
      <w:pPr>
        <w:shd w:val="clear" w:color="auto" w:fill="FFFFFF"/>
        <w:spacing w:line="360" w:lineRule="auto"/>
        <w:ind w:left="300"/>
        <w:jc w:val="left"/>
        <w:textAlignment w:val="center"/>
      </w:pPr>
      <w:r>
        <w:t>B．公共数据要素的价值是由政府决定的</w:t>
      </w:r>
    </w:p>
    <w:p w14:paraId="0CDF8AFC">
      <w:pPr>
        <w:shd w:val="clear" w:color="auto" w:fill="FFFFFF"/>
        <w:spacing w:line="360" w:lineRule="auto"/>
        <w:ind w:left="300"/>
        <w:jc w:val="left"/>
        <w:textAlignment w:val="center"/>
      </w:pPr>
      <w:r>
        <w:t>C．企业可以利用公共数据避免市场价格波动</w:t>
      </w:r>
    </w:p>
    <w:p w14:paraId="71B45EAD">
      <w:pPr>
        <w:shd w:val="clear" w:color="auto" w:fill="FFFFFF"/>
        <w:spacing w:line="360" w:lineRule="auto"/>
        <w:ind w:left="300"/>
        <w:jc w:val="left"/>
        <w:textAlignment w:val="center"/>
      </w:pPr>
      <w:r>
        <w:t>D．将公共数据交由市场提供会出现供给不足</w:t>
      </w:r>
    </w:p>
    <w:p w14:paraId="722A4C50">
      <w:pPr>
        <w:shd w:val="clear" w:color="auto" w:fill="FFFFFF"/>
        <w:spacing w:line="360" w:lineRule="auto"/>
        <w:jc w:val="left"/>
        <w:textAlignment w:val="center"/>
      </w:pPr>
      <w:r>
        <w:t>7．2023年6月我国企业贷款加权平均利率3.95%，同比下降0.21个百分点,继续处于历史低位；同时财政部明确，多项涉及小微企业和个体工商户的阶段性减税降费政策,延续实施至2027年底。这一套政策“组合拳”对我国经济的影响传导正确的是(</w:t>
      </w:r>
      <w:r>
        <w:rPr>
          <w:rFonts w:ascii="Times New Roman" w:hAnsi="Times New Roman" w:eastAsia="Times New Roman" w:cs="Times New Roman"/>
          <w:kern w:val="0"/>
          <w:sz w:val="24"/>
          <w:szCs w:val="24"/>
        </w:rPr>
        <w:t>    </w:t>
      </w:r>
      <w:r>
        <w:t>)</w:t>
      </w:r>
    </w:p>
    <w:p w14:paraId="57DE1DE2">
      <w:pPr>
        <w:shd w:val="clear" w:color="auto" w:fill="FFFFFF"/>
        <w:spacing w:line="360" w:lineRule="auto"/>
        <w:jc w:val="left"/>
        <w:textAlignment w:val="center"/>
      </w:pPr>
      <w:r>
        <w:t>①减税降费→降低企业投资风险→增加社会总供给</w:t>
      </w:r>
    </w:p>
    <w:p w14:paraId="6DDC387C">
      <w:pPr>
        <w:shd w:val="clear" w:color="auto" w:fill="FFFFFF"/>
        <w:spacing w:line="360" w:lineRule="auto"/>
        <w:jc w:val="left"/>
        <w:textAlignment w:val="center"/>
      </w:pPr>
      <w:r>
        <w:t>②减税降费→降低企业制度性成本→增强企业的内生动力</w:t>
      </w:r>
    </w:p>
    <w:p w14:paraId="6A8EA792">
      <w:pPr>
        <w:shd w:val="clear" w:color="auto" w:fill="FFFFFF"/>
        <w:spacing w:line="360" w:lineRule="auto"/>
        <w:jc w:val="left"/>
        <w:textAlignment w:val="center"/>
      </w:pPr>
      <w:r>
        <w:t>③下调贷款利率→保持流动性合理充裕→化解金融风险</w:t>
      </w:r>
    </w:p>
    <w:p w14:paraId="4F6695B9">
      <w:pPr>
        <w:shd w:val="clear" w:color="auto" w:fill="FFFFFF"/>
        <w:spacing w:line="360" w:lineRule="auto"/>
        <w:jc w:val="left"/>
        <w:textAlignment w:val="center"/>
      </w:pPr>
      <w:r>
        <w:t>④下调贷款利率→降低企业融资成本→增加企业经济效益</w:t>
      </w:r>
    </w:p>
    <w:p w14:paraId="65D63B90">
      <w:pPr>
        <w:shd w:val="clear" w:color="auto" w:fill="FFFFFF"/>
        <w:tabs>
          <w:tab w:val="left" w:pos="2078"/>
          <w:tab w:val="left" w:pos="4156"/>
          <w:tab w:val="left" w:pos="6234"/>
        </w:tabs>
        <w:spacing w:line="360" w:lineRule="auto"/>
        <w:ind w:left="300"/>
        <w:jc w:val="left"/>
        <w:textAlignment w:val="center"/>
      </w:pPr>
      <w:r>
        <w:t>A．①②</w:t>
      </w:r>
      <w:r>
        <w:tab/>
      </w:r>
      <w:r>
        <w:t>B．②④</w:t>
      </w:r>
      <w:r>
        <w:tab/>
      </w:r>
      <w:r>
        <w:t>C．①③</w:t>
      </w:r>
      <w:r>
        <w:tab/>
      </w:r>
      <w:r>
        <w:t>D．③④</w:t>
      </w:r>
    </w:p>
    <w:p w14:paraId="317C70AF">
      <w:pPr>
        <w:shd w:val="clear" w:color="auto" w:fill="FFFFFF"/>
        <w:spacing w:line="360" w:lineRule="auto"/>
        <w:jc w:val="left"/>
        <w:textAlignment w:val="center"/>
      </w:pPr>
      <w:r>
        <w:t>8．近年来,我国对企业实际支出项目按规定比例给予税前扣除的基础上再给予追加扣除,将制造业企业研发费用加计扣除比例由75%提高到100%,实施增增值税留抵退税优惠(对现在还不能抵扣、留着将来才能抵扣的“进项”增值税,予以提前全额退还),地方举债亦有所增加,这一揽子政策措施推动了我国经济企稳向好。下列推导正确的是(</w:t>
      </w:r>
      <w:r>
        <w:rPr>
          <w:rFonts w:ascii="Times New Roman" w:hAnsi="Times New Roman" w:eastAsia="Times New Roman" w:cs="Times New Roman"/>
          <w:kern w:val="0"/>
          <w:sz w:val="24"/>
          <w:szCs w:val="24"/>
        </w:rPr>
        <w:t>     </w:t>
      </w:r>
      <w:r>
        <w:t>)</w:t>
      </w:r>
    </w:p>
    <w:p w14:paraId="416671BB">
      <w:pPr>
        <w:shd w:val="clear" w:color="auto" w:fill="FFFFFF"/>
        <w:spacing w:line="360" w:lineRule="auto"/>
        <w:ind w:left="300"/>
        <w:jc w:val="left"/>
        <w:textAlignment w:val="center"/>
      </w:pPr>
      <w:r>
        <w:t>A．企业所得税加计扣除→减少重复征税→提高企业盈利能力→增强企业竞争优势</w:t>
      </w:r>
    </w:p>
    <w:p w14:paraId="2580F99D">
      <w:pPr>
        <w:shd w:val="clear" w:color="auto" w:fill="FFFFFF"/>
        <w:spacing w:line="360" w:lineRule="auto"/>
        <w:ind w:left="300"/>
        <w:jc w:val="left"/>
        <w:textAlignment w:val="center"/>
      </w:pPr>
      <w:r>
        <w:t>B．研发费用加计扣除→企业增加研发投入→激发企业活力→增强现代金融的服务能力</w:t>
      </w:r>
    </w:p>
    <w:p w14:paraId="3E31F143">
      <w:pPr>
        <w:shd w:val="clear" w:color="auto" w:fill="FFFFFF"/>
        <w:spacing w:line="360" w:lineRule="auto"/>
        <w:ind w:left="300"/>
        <w:jc w:val="left"/>
        <w:textAlignment w:val="center"/>
      </w:pPr>
      <w:r>
        <w:t>C．增值税留抵退税优惠→加大货币政策支持力度→满足企业融资需求→增强企业生产信心</w:t>
      </w:r>
    </w:p>
    <w:p w14:paraId="3B002D54">
      <w:pPr>
        <w:shd w:val="clear" w:color="auto" w:fill="FFFFFF"/>
        <w:spacing w:line="360" w:lineRule="auto"/>
        <w:ind w:left="300"/>
        <w:jc w:val="left"/>
        <w:textAlignment w:val="center"/>
      </w:pPr>
      <w:r>
        <w:t>D．地方举债增加→弥补地方政府的财政缺口→拉动地方重点投资→优化资金使用结构</w:t>
      </w:r>
    </w:p>
    <w:p w14:paraId="5867E0F9">
      <w:pPr>
        <w:shd w:val="clear" w:color="auto" w:fill="FFFFFF"/>
        <w:spacing w:line="360" w:lineRule="auto"/>
        <w:jc w:val="left"/>
        <w:textAlignment w:val="center"/>
      </w:pPr>
      <w:r>
        <w:t>9．2023年2月17日，中国证监会发布全面实行股票发行注册制度规则，此次改革将核准制下的发行条件尽可能转化为信息披露要求；对新股发行价格、规模等不设任何行政性限制、完善以机构投资者为参与主体的询价、定价、配售等机制。据此可知，此次改革将(</w:t>
      </w:r>
      <w:r>
        <w:rPr>
          <w:rFonts w:ascii="Times New Roman" w:hAnsi="Times New Roman" w:eastAsia="Times New Roman" w:cs="Times New Roman"/>
          <w:kern w:val="0"/>
          <w:sz w:val="24"/>
          <w:szCs w:val="24"/>
        </w:rPr>
        <w:t>     </w:t>
      </w:r>
      <w:r>
        <w:t>)</w:t>
      </w:r>
    </w:p>
    <w:p w14:paraId="5A3BB801">
      <w:pPr>
        <w:shd w:val="clear" w:color="auto" w:fill="FFFFFF"/>
        <w:spacing w:line="360" w:lineRule="auto"/>
        <w:jc w:val="left"/>
        <w:textAlignment w:val="center"/>
      </w:pPr>
      <w:r>
        <w:t>①加大股票市场的波动和投资风险</w:t>
      </w:r>
    </w:p>
    <w:p w14:paraId="39C2B59F">
      <w:pPr>
        <w:shd w:val="clear" w:color="auto" w:fill="FFFFFF"/>
        <w:spacing w:line="360" w:lineRule="auto"/>
        <w:jc w:val="left"/>
        <w:textAlignment w:val="center"/>
      </w:pPr>
      <w:r>
        <w:t>②优化资本市场环境促进公平公正</w:t>
      </w:r>
    </w:p>
    <w:p w14:paraId="587CEAF3">
      <w:pPr>
        <w:shd w:val="clear" w:color="auto" w:fill="FFFFFF"/>
        <w:spacing w:line="360" w:lineRule="auto"/>
        <w:jc w:val="left"/>
        <w:textAlignment w:val="center"/>
      </w:pPr>
      <w:r>
        <w:t>③提升股票发行定价的市场化程度</w:t>
      </w:r>
    </w:p>
    <w:p w14:paraId="03F53C35">
      <w:pPr>
        <w:shd w:val="clear" w:color="auto" w:fill="FFFFFF"/>
        <w:spacing w:line="360" w:lineRule="auto"/>
        <w:jc w:val="left"/>
        <w:textAlignment w:val="center"/>
      </w:pPr>
      <w:r>
        <w:t>④利于公平分配助推中国式现代化</w:t>
      </w:r>
    </w:p>
    <w:p w14:paraId="626ECA31">
      <w:pPr>
        <w:shd w:val="clear" w:color="auto" w:fill="FFFFFF"/>
        <w:tabs>
          <w:tab w:val="left" w:pos="2078"/>
          <w:tab w:val="left" w:pos="4156"/>
          <w:tab w:val="left" w:pos="6234"/>
        </w:tabs>
        <w:spacing w:line="360" w:lineRule="auto"/>
        <w:ind w:left="300"/>
        <w:jc w:val="left"/>
        <w:textAlignment w:val="center"/>
      </w:pPr>
      <w:r>
        <w:t>A．①③</w:t>
      </w:r>
      <w:r>
        <w:tab/>
      </w:r>
      <w:r>
        <w:t>B．①④</w:t>
      </w:r>
      <w:r>
        <w:tab/>
      </w:r>
      <w:r>
        <w:t>C．②③</w:t>
      </w:r>
      <w:r>
        <w:tab/>
      </w:r>
      <w:r>
        <w:t>D．②④</w:t>
      </w:r>
    </w:p>
    <w:p w14:paraId="2E45498D">
      <w:pPr>
        <w:shd w:val="clear" w:color="auto" w:fill="FFFFFF"/>
        <w:spacing w:line="360" w:lineRule="auto"/>
        <w:jc w:val="left"/>
        <w:textAlignment w:val="center"/>
      </w:pPr>
      <w:r>
        <w:t>10．广州素有“千年商都”之称，专业批发市场林立，聚集了大批小企业、小商户。近年来，广州积极探索“外贸+市场采购模式”。针对市场变化，广州海关和地方商务部门加大业务整合探索，帮助小企业、小商户开拓出口大市场。广州这样做有利于（</w:t>
      </w:r>
      <w:r>
        <w:rPr>
          <w:rFonts w:ascii="Times New Roman" w:hAnsi="Times New Roman" w:eastAsia="Times New Roman" w:cs="Times New Roman"/>
          <w:kern w:val="0"/>
          <w:sz w:val="24"/>
          <w:szCs w:val="24"/>
        </w:rPr>
        <w:t>   </w:t>
      </w:r>
      <w:r>
        <w:t>）</w:t>
      </w:r>
    </w:p>
    <w:p w14:paraId="5E86882F">
      <w:pPr>
        <w:shd w:val="clear" w:color="auto" w:fill="FFFFFF"/>
        <w:spacing w:line="360" w:lineRule="auto"/>
        <w:jc w:val="left"/>
        <w:textAlignment w:val="center"/>
      </w:pPr>
      <w:r>
        <w:t>①更好地发挥政府的宏观调控作用，消除市场的弊端</w:t>
      </w:r>
    </w:p>
    <w:p w14:paraId="739BA282">
      <w:pPr>
        <w:shd w:val="clear" w:color="auto" w:fill="FFFFFF"/>
        <w:spacing w:line="360" w:lineRule="auto"/>
        <w:jc w:val="left"/>
        <w:textAlignment w:val="center"/>
      </w:pPr>
      <w:r>
        <w:t>②政府和市场更好地结合，充分发挥市场在资源配置中的决定性作用</w:t>
      </w:r>
    </w:p>
    <w:p w14:paraId="2EC97C28">
      <w:pPr>
        <w:shd w:val="clear" w:color="auto" w:fill="FFFFFF"/>
        <w:spacing w:line="360" w:lineRule="auto"/>
        <w:jc w:val="left"/>
        <w:textAlignment w:val="center"/>
      </w:pPr>
      <w:r>
        <w:t>③降低外贸出口准入门槛，推动出口贸易的自由化便利化</w:t>
      </w:r>
    </w:p>
    <w:p w14:paraId="7520557B">
      <w:pPr>
        <w:shd w:val="clear" w:color="auto" w:fill="FFFFFF"/>
        <w:spacing w:line="360" w:lineRule="auto"/>
        <w:jc w:val="left"/>
        <w:textAlignment w:val="center"/>
      </w:pPr>
      <w:r>
        <w:t>④转变政府职能，促进优化服务改革发展，适应市场经济发展要求</w:t>
      </w:r>
    </w:p>
    <w:p w14:paraId="1BD23146">
      <w:pPr>
        <w:shd w:val="clear" w:color="auto" w:fill="FFFFFF"/>
        <w:tabs>
          <w:tab w:val="left" w:pos="2078"/>
          <w:tab w:val="left" w:pos="4156"/>
          <w:tab w:val="left" w:pos="6234"/>
        </w:tabs>
        <w:spacing w:line="360" w:lineRule="auto"/>
        <w:ind w:left="380"/>
        <w:jc w:val="left"/>
        <w:textAlignment w:val="center"/>
      </w:pPr>
      <w:r>
        <w:t>A．①②</w:t>
      </w:r>
      <w:r>
        <w:tab/>
      </w:r>
      <w:r>
        <w:t>B．①③</w:t>
      </w:r>
      <w:r>
        <w:tab/>
      </w:r>
      <w:r>
        <w:t>C．②④</w:t>
      </w:r>
      <w:r>
        <w:tab/>
      </w:r>
      <w:r>
        <w:t>D．③④</w:t>
      </w:r>
    </w:p>
    <w:p w14:paraId="25423175">
      <w:pPr>
        <w:shd w:val="clear" w:color="auto" w:fill="FFFFFF"/>
        <w:spacing w:line="360" w:lineRule="auto"/>
        <w:jc w:val="left"/>
        <w:textAlignment w:val="center"/>
      </w:pPr>
      <w:r>
        <w:t>11．2021年1月，中共中央办公厅、国务院办公厅印发了《建设高标准市场体系行动方案》。《方案》在夯实市场体系基础制度方面指出，要全面完善产权保护制度，强化知识产权保护；要全面实施市场准入负面清单制度，全面落实“全国一张清单”管理模式；要全面完善公平竞争制度，营造公平有序的竞争环境。国家着力夯实市场体系的“三项基础制度”旨在(</w:t>
      </w:r>
      <w:r>
        <w:rPr>
          <w:rFonts w:ascii="Times New Roman" w:hAnsi="Times New Roman" w:eastAsia="Times New Roman" w:cs="Times New Roman"/>
          <w:kern w:val="0"/>
          <w:sz w:val="24"/>
          <w:szCs w:val="24"/>
        </w:rPr>
        <w:t>     </w:t>
      </w:r>
      <w:r>
        <w:t>)</w:t>
      </w:r>
    </w:p>
    <w:p w14:paraId="75DA4434">
      <w:pPr>
        <w:shd w:val="clear" w:color="auto" w:fill="FFFFFF"/>
        <w:spacing w:line="360" w:lineRule="auto"/>
        <w:jc w:val="left"/>
        <w:textAlignment w:val="center"/>
      </w:pPr>
      <w:r>
        <w:t>①形成统一开放、竞争有序、制度完备、治理完善的高标准市场体系</w:t>
      </w:r>
    </w:p>
    <w:p w14:paraId="004BA08C">
      <w:pPr>
        <w:shd w:val="clear" w:color="auto" w:fill="FFFFFF"/>
        <w:spacing w:line="360" w:lineRule="auto"/>
        <w:jc w:val="left"/>
        <w:textAlignment w:val="center"/>
      </w:pPr>
      <w:r>
        <w:t>②理顺政府与市场的关系，激发市场活力和社会创造力</w:t>
      </w:r>
    </w:p>
    <w:p w14:paraId="043E45CE">
      <w:pPr>
        <w:shd w:val="clear" w:color="auto" w:fill="FFFFFF"/>
        <w:spacing w:line="360" w:lineRule="auto"/>
        <w:jc w:val="left"/>
        <w:textAlignment w:val="center"/>
      </w:pPr>
      <w:r>
        <w:t>③通过政府履行经济职能，消除市场调节的局限性</w:t>
      </w:r>
    </w:p>
    <w:p w14:paraId="1CC3CCC1">
      <w:pPr>
        <w:shd w:val="clear" w:color="auto" w:fill="FFFFFF"/>
        <w:spacing w:line="360" w:lineRule="auto"/>
        <w:jc w:val="left"/>
        <w:textAlignment w:val="center"/>
      </w:pPr>
      <w:r>
        <w:t>④优化我国的流通体系，提升企业的盈利能力</w:t>
      </w:r>
    </w:p>
    <w:p w14:paraId="4CACA0A9">
      <w:pPr>
        <w:shd w:val="clear" w:color="auto" w:fill="FFFFFF"/>
        <w:tabs>
          <w:tab w:val="left" w:pos="2078"/>
          <w:tab w:val="left" w:pos="4156"/>
          <w:tab w:val="left" w:pos="6234"/>
        </w:tabs>
        <w:spacing w:line="360" w:lineRule="auto"/>
        <w:ind w:left="380"/>
        <w:jc w:val="left"/>
        <w:textAlignment w:val="center"/>
      </w:pPr>
      <w:r>
        <w:t>A．①②</w:t>
      </w:r>
      <w:r>
        <w:tab/>
      </w:r>
      <w:r>
        <w:t>B．①④</w:t>
      </w:r>
      <w:r>
        <w:tab/>
      </w:r>
      <w:r>
        <w:t>C．②③</w:t>
      </w:r>
      <w:r>
        <w:tab/>
      </w:r>
      <w:r>
        <w:t>D．③④</w:t>
      </w:r>
    </w:p>
    <w:p w14:paraId="31B817F9">
      <w:pPr>
        <w:shd w:val="clear" w:color="auto" w:fill="FFFFFF"/>
        <w:spacing w:line="360" w:lineRule="auto"/>
        <w:jc w:val="left"/>
        <w:textAlignment w:val="center"/>
      </w:pPr>
      <w:r>
        <w:t>12．习近平总书记特别强调：“我们是在中国共产党领导和社会主义制度的大前提下发展市场经济，什么时候都不能忘了‘社会主义’这个定语。之所以说是社会主义市场经济，就是要坚持我们的制度优越性。”我们的制度优越性是指（</w:t>
      </w:r>
      <w:r>
        <w:rPr>
          <w:rFonts w:ascii="Times New Roman" w:hAnsi="Times New Roman" w:eastAsia="Times New Roman" w:cs="Times New Roman"/>
          <w:kern w:val="0"/>
          <w:sz w:val="24"/>
          <w:szCs w:val="24"/>
        </w:rPr>
        <w:t>   </w:t>
      </w:r>
      <w:r>
        <w:t>）</w:t>
      </w:r>
    </w:p>
    <w:p w14:paraId="5AB6AF38">
      <w:pPr>
        <w:shd w:val="clear" w:color="auto" w:fill="FFFFFF"/>
        <w:spacing w:line="360" w:lineRule="auto"/>
        <w:jc w:val="left"/>
        <w:textAlignment w:val="center"/>
      </w:pPr>
      <w:r>
        <w:t>①坚持中国共产党的领导</w:t>
      </w:r>
      <w:r>
        <w:rPr>
          <w:rFonts w:ascii="Times New Roman" w:hAnsi="Times New Roman" w:eastAsia="Times New Roman" w:cs="Times New Roman"/>
          <w:kern w:val="0"/>
          <w:sz w:val="24"/>
          <w:szCs w:val="24"/>
        </w:rPr>
        <w:t>                </w:t>
      </w:r>
    </w:p>
    <w:p w14:paraId="6664A603">
      <w:pPr>
        <w:shd w:val="clear" w:color="auto" w:fill="FFFFFF"/>
        <w:spacing w:line="360" w:lineRule="auto"/>
        <w:jc w:val="left"/>
        <w:textAlignment w:val="center"/>
      </w:pPr>
      <w:r>
        <w:t>②有一定的市场运行规则</w:t>
      </w:r>
    </w:p>
    <w:p w14:paraId="48272F6F">
      <w:pPr>
        <w:shd w:val="clear" w:color="auto" w:fill="FFFFFF"/>
        <w:spacing w:line="360" w:lineRule="auto"/>
        <w:jc w:val="left"/>
        <w:textAlignment w:val="center"/>
      </w:pPr>
      <w:r>
        <w:t>③以共同富裕为根本目标</w:t>
      </w:r>
      <w:r>
        <w:rPr>
          <w:rFonts w:ascii="Times New Roman" w:hAnsi="Times New Roman" w:eastAsia="Times New Roman" w:cs="Times New Roman"/>
          <w:kern w:val="0"/>
          <w:sz w:val="24"/>
          <w:szCs w:val="24"/>
        </w:rPr>
        <w:t>                </w:t>
      </w:r>
    </w:p>
    <w:p w14:paraId="2A4D8CAA">
      <w:pPr>
        <w:shd w:val="clear" w:color="auto" w:fill="FFFFFF"/>
        <w:spacing w:line="360" w:lineRule="auto"/>
        <w:jc w:val="left"/>
        <w:textAlignment w:val="center"/>
      </w:pPr>
      <w:r>
        <w:t>④消除了市场失灵的弊病</w:t>
      </w:r>
    </w:p>
    <w:p w14:paraId="2264A947">
      <w:pPr>
        <w:shd w:val="clear" w:color="auto" w:fill="FFFFFF"/>
        <w:tabs>
          <w:tab w:val="left" w:pos="2078"/>
          <w:tab w:val="left" w:pos="4156"/>
          <w:tab w:val="left" w:pos="6234"/>
        </w:tabs>
        <w:spacing w:line="360" w:lineRule="auto"/>
        <w:ind w:left="380"/>
        <w:jc w:val="left"/>
        <w:textAlignment w:val="center"/>
      </w:pPr>
      <w:r>
        <w:t>A．①③</w:t>
      </w:r>
      <w:r>
        <w:tab/>
      </w:r>
      <w:r>
        <w:t>B．①④</w:t>
      </w:r>
      <w:r>
        <w:tab/>
      </w:r>
      <w:r>
        <w:t>C．②③</w:t>
      </w:r>
      <w:r>
        <w:tab/>
      </w:r>
      <w:r>
        <w:t>D．②④</w:t>
      </w:r>
    </w:p>
    <w:p w14:paraId="7898D32E">
      <w:pPr>
        <w:shd w:val="clear" w:color="auto" w:fill="FFFFFF"/>
        <w:spacing w:line="360" w:lineRule="auto"/>
        <w:jc w:val="left"/>
        <w:textAlignment w:val="center"/>
      </w:pPr>
      <w:r>
        <w:t>13．2023年一季度，我国经济同比增长4.5％，高于市场预期，但增长主要是恢复性的，内需依然不强。未来一段时间，宏观政策依然需要保持一定力度，以保持经济增长的势头。以下政策措施传导路径正确的是（</w:t>
      </w:r>
      <w:r>
        <w:rPr>
          <w:rFonts w:ascii="Times New Roman" w:hAnsi="Times New Roman" w:eastAsia="Times New Roman" w:cs="Times New Roman"/>
          <w:kern w:val="0"/>
          <w:sz w:val="24"/>
          <w:szCs w:val="24"/>
        </w:rPr>
        <w:t>   </w:t>
      </w:r>
      <w:r>
        <w:t>）</w:t>
      </w:r>
    </w:p>
    <w:p w14:paraId="0310E83F">
      <w:pPr>
        <w:shd w:val="clear" w:color="auto" w:fill="FFFFFF"/>
        <w:spacing w:line="360" w:lineRule="auto"/>
        <w:ind w:left="380"/>
        <w:jc w:val="left"/>
        <w:textAlignment w:val="center"/>
      </w:pPr>
      <w:r>
        <w:t>A．经济建设支出增加→社会总供给增加→企业生产规模扩大→实现经济增长</w:t>
      </w:r>
    </w:p>
    <w:p w14:paraId="3F5B729A">
      <w:pPr>
        <w:shd w:val="clear" w:color="auto" w:fill="FFFFFF"/>
        <w:spacing w:line="360" w:lineRule="auto"/>
        <w:ind w:left="380"/>
        <w:jc w:val="left"/>
        <w:textAlignment w:val="center"/>
      </w:pPr>
      <w:r>
        <w:t>B．积极的财政政策→增加市场货币投放量→刺激国内投资→增加社会总需求</w:t>
      </w:r>
    </w:p>
    <w:p w14:paraId="21A16764">
      <w:pPr>
        <w:shd w:val="clear" w:color="auto" w:fill="FFFFFF"/>
        <w:spacing w:line="360" w:lineRule="auto"/>
        <w:ind w:left="380"/>
        <w:jc w:val="left"/>
        <w:textAlignment w:val="center"/>
      </w:pPr>
      <w:r>
        <w:t>C．降低银行存贷款利率→企业融资成本减少→减轻企业负担→增强企业活力</w:t>
      </w:r>
    </w:p>
    <w:p w14:paraId="1DFF46D9">
      <w:pPr>
        <w:shd w:val="clear" w:color="auto" w:fill="FFFFFF"/>
        <w:spacing w:line="360" w:lineRule="auto"/>
        <w:ind w:left="380"/>
        <w:jc w:val="left"/>
        <w:textAlignment w:val="center"/>
      </w:pPr>
      <w:r>
        <w:t>D．稳健的货币政策→发行专项国债→社会总需求增加→激发社会生产的活力</w:t>
      </w:r>
    </w:p>
    <w:p w14:paraId="50CEDD7C">
      <w:pPr>
        <w:shd w:val="clear" w:color="auto" w:fill="FFFFFF"/>
        <w:spacing w:line="360" w:lineRule="auto"/>
        <w:jc w:val="left"/>
        <w:textAlignment w:val="center"/>
      </w:pPr>
      <w:r>
        <w:t>14．改革开放以来，我国经济发展以“中国速度”迅速赶超世界经济发展强国，促成这一成就的是我国进行了社会主义市场经济体制的建设。</w:t>
      </w:r>
      <w:r>
        <w:rPr>
          <w:u w:val="single"/>
        </w:rPr>
        <w:t xml:space="preserve">           </w:t>
      </w:r>
      <w:r>
        <w:t>是社会主义市场经济体制的最本质特征和最大优势</w:t>
      </w:r>
    </w:p>
    <w:p w14:paraId="798F3874">
      <w:pPr>
        <w:shd w:val="clear" w:color="auto" w:fill="FFFFFF"/>
        <w:spacing w:line="360" w:lineRule="auto"/>
        <w:ind w:left="380"/>
        <w:jc w:val="left"/>
        <w:textAlignment w:val="center"/>
      </w:pPr>
      <w:r>
        <w:t>A．坚持中国共产党的领导</w:t>
      </w:r>
    </w:p>
    <w:p w14:paraId="033352F9">
      <w:pPr>
        <w:shd w:val="clear" w:color="auto" w:fill="FFFFFF"/>
        <w:spacing w:line="360" w:lineRule="auto"/>
        <w:ind w:left="380"/>
        <w:jc w:val="left"/>
        <w:textAlignment w:val="center"/>
      </w:pPr>
      <w:r>
        <w:t>B．坚持我国基本经济制度为根基</w:t>
      </w:r>
    </w:p>
    <w:p w14:paraId="5DDB5F16">
      <w:pPr>
        <w:shd w:val="clear" w:color="auto" w:fill="FFFFFF"/>
        <w:spacing w:line="360" w:lineRule="auto"/>
        <w:ind w:left="380"/>
        <w:jc w:val="left"/>
        <w:textAlignment w:val="center"/>
      </w:pPr>
      <w:r>
        <w:t>C．促成全体人民共同富裕为根本目标</w:t>
      </w:r>
    </w:p>
    <w:p w14:paraId="2E31589E">
      <w:pPr>
        <w:shd w:val="clear" w:color="auto" w:fill="FFFFFF"/>
        <w:spacing w:line="360" w:lineRule="auto"/>
        <w:ind w:left="380"/>
        <w:jc w:val="left"/>
        <w:textAlignment w:val="center"/>
      </w:pPr>
      <w:r>
        <w:t>D．科学宏观调控和有效的政府治理</w:t>
      </w:r>
    </w:p>
    <w:p w14:paraId="2D5C8531">
      <w:pPr>
        <w:shd w:val="clear" w:color="auto" w:fill="FFFFFF"/>
        <w:spacing w:line="360" w:lineRule="auto"/>
        <w:jc w:val="left"/>
        <w:textAlignment w:val="center"/>
      </w:pPr>
      <w:r>
        <w:t>15．中央农办协调推动农业农村部等4部门，出台一揽子稳定大豆生产支持政策措施。若不考虑其他因素，下列传导正确的是：（</w:t>
      </w:r>
      <w:r>
        <w:rPr>
          <w:rFonts w:ascii="Times New Roman" w:hAnsi="Times New Roman" w:eastAsia="Times New Roman" w:cs="Times New Roman"/>
          <w:kern w:val="0"/>
          <w:sz w:val="24"/>
          <w:szCs w:val="24"/>
        </w:rPr>
        <w:t>    </w:t>
      </w:r>
      <w:r>
        <w:t>）</w:t>
      </w:r>
    </w:p>
    <w:p w14:paraId="0541ED70">
      <w:pPr>
        <w:shd w:val="clear" w:color="auto" w:fill="FFFFFF"/>
        <w:spacing w:line="360" w:lineRule="auto"/>
        <w:ind w:left="380"/>
        <w:jc w:val="left"/>
        <w:textAlignment w:val="center"/>
      </w:pPr>
      <w:r>
        <w:t>A．完善大豆生产者补贴政策→激发豆农积极性→扩大大豆种植规模→稳定大豆生产</w:t>
      </w:r>
    </w:p>
    <w:p w14:paraId="4B5BD2C7">
      <w:pPr>
        <w:shd w:val="clear" w:color="auto" w:fill="FFFFFF"/>
        <w:spacing w:line="360" w:lineRule="auto"/>
        <w:ind w:left="380"/>
        <w:jc w:val="left"/>
        <w:textAlignment w:val="center"/>
      </w:pPr>
      <w:r>
        <w:t>B．加大种豆信贷支持→扩大种植收入保险覆盖面→降低种豆成本→保障豆农合法权益</w:t>
      </w:r>
    </w:p>
    <w:p w14:paraId="65713D62">
      <w:pPr>
        <w:shd w:val="clear" w:color="auto" w:fill="FFFFFF"/>
        <w:spacing w:line="360" w:lineRule="auto"/>
        <w:ind w:left="380"/>
        <w:jc w:val="left"/>
        <w:textAlignment w:val="center"/>
      </w:pPr>
      <w:r>
        <w:t>C．加强大豆收储力度→稳定大豆市场预期→增加大豆收购计划→提升豆农种植意愿</w:t>
      </w:r>
    </w:p>
    <w:p w14:paraId="15F9CFA9">
      <w:pPr>
        <w:shd w:val="clear" w:color="auto" w:fill="FFFFFF"/>
        <w:spacing w:line="360" w:lineRule="auto"/>
        <w:ind w:left="380"/>
        <w:jc w:val="left"/>
        <w:textAlignment w:val="center"/>
      </w:pPr>
      <w:r>
        <w:t>D．加强技术指导→实施大豆单产提升行动→提高大豆生产效率→带动大豆稳产增产</w:t>
      </w:r>
    </w:p>
    <w:p w14:paraId="5E46966C">
      <w:pPr>
        <w:jc w:val="center"/>
        <w:textAlignment w:val="center"/>
        <w:rPr>
          <w:rFonts w:ascii="黑体" w:hAnsi="黑体" w:eastAsia="黑体" w:cs="黑体"/>
          <w:b/>
          <w:i w:val="0"/>
          <w:sz w:val="30"/>
        </w:rPr>
      </w:pPr>
    </w:p>
    <w:p w14:paraId="607870AB">
      <w:pPr>
        <w:jc w:val="left"/>
        <w:textAlignment w:val="center"/>
        <w:rPr>
          <w:rFonts w:ascii="宋体" w:hAnsi="宋体" w:eastAsia="宋体" w:cs="宋体"/>
          <w:b/>
          <w:i w:val="0"/>
          <w:sz w:val="21"/>
        </w:rPr>
      </w:pPr>
      <w:r>
        <w:rPr>
          <w:rFonts w:ascii="宋体" w:hAnsi="宋体" w:eastAsia="宋体" w:cs="宋体"/>
          <w:b/>
          <w:i w:val="0"/>
          <w:sz w:val="21"/>
        </w:rPr>
        <w:t>二、材料分析题</w:t>
      </w:r>
    </w:p>
    <w:p w14:paraId="3766E733">
      <w:pPr>
        <w:shd w:val="clear" w:color="auto" w:fill="FFFFFF"/>
        <w:spacing w:line="360" w:lineRule="auto"/>
        <w:jc w:val="left"/>
        <w:textAlignment w:val="center"/>
      </w:pPr>
      <w:r>
        <w:t>16．阅读材料，完成下列要求。</w:t>
      </w:r>
    </w:p>
    <w:p w14:paraId="645E9010">
      <w:pPr>
        <w:shd w:val="clear" w:color="auto" w:fill="FFFFFF"/>
        <w:spacing w:line="360" w:lineRule="auto"/>
        <w:ind w:firstLine="420"/>
        <w:jc w:val="left"/>
        <w:textAlignment w:val="center"/>
      </w:pPr>
      <w:r>
        <w:rPr>
          <w:rFonts w:ascii="楷体" w:hAnsi="楷体" w:eastAsia="楷体" w:cs="楷体"/>
        </w:rPr>
        <w:t>2022年12月16日，中央经济工作会议强调，要把恢复和扩大消费摆在优先位置。增强消费能力，改善消费条件，创新消费场景，支持新能源汽车等消费。2022年，中国新能源汽车出口67.9万辆，同比增长1.2倍，2022全年新能源汽车产销分别完成了705.8万辆和688.7万辆，同比分别增长了96.9%和93.4%，连续8年保持全球第一。展望2023年，我国新能源汽车市场将延续增长势头。同时，2023年我国新能源汽车行业发展也面临不断加剧的国际竞争、日益突出的全球供应链危机、持续增加的成本压力、配套设施布局不均衡的关键制约等诸多挑战。比如，电池正极材料碳酸锂、氢氧化锂的涨价幅度在一年之内超过了600%；另外汽车芯片供应短缺现象也比较明显，在核心高算力芯片，以及ECU等控制类芯片方面，我国自主化水平不高，仍需依赖进口。随着新能源汽车在全国新车市场销售占比提升至25%，且国家对新能源汽车补贴退场后，将凸显新能源车的使用者体验（高续航、快充、车款增多），以及环境支持（充电便利、优先路权、换购优惠）对市场销售的重要性与影响性。</w:t>
      </w:r>
    </w:p>
    <w:p w14:paraId="26981F65">
      <w:pPr>
        <w:shd w:val="clear" w:color="auto" w:fill="FFFFFF"/>
        <w:spacing w:line="360" w:lineRule="auto"/>
        <w:jc w:val="left"/>
        <w:textAlignment w:val="center"/>
      </w:pPr>
      <w:r>
        <w:t>有人认为，破解新能源汽车行业发展困局关键是政府加大对新能源汽车的补贴力度。结合材料，运用我国社会主义市场经济的知识，对该观点进行评析。</w:t>
      </w:r>
    </w:p>
    <w:p w14:paraId="15D5BEF4">
      <w:pPr>
        <w:shd w:val="clear" w:color="auto" w:fill="FFFFFF"/>
        <w:spacing w:line="360" w:lineRule="auto"/>
        <w:jc w:val="left"/>
        <w:textAlignment w:val="center"/>
        <w:sectPr>
          <w:footerReference r:id="rId3" w:type="default"/>
          <w:footerReference r:id="rId4" w:type="even"/>
          <w:pgSz w:w="11907" w:h="16839"/>
          <w:pgMar w:top="900" w:right="1997" w:bottom="900" w:left="1997" w:header="500" w:footer="500" w:gutter="0"/>
          <w:cols w:space="425" w:num="1" w:sep="1"/>
          <w:docGrid w:type="lines" w:linePitch="312" w:charSpace="0"/>
        </w:sectPr>
      </w:pPr>
    </w:p>
    <w:p w14:paraId="7FA548B6">
      <w:pPr>
        <w:jc w:val="center"/>
        <w:textAlignment w:val="center"/>
        <w:rPr>
          <w:rFonts w:ascii="宋体" w:hAnsi="宋体" w:eastAsia="宋体" w:cs="宋体"/>
          <w:b/>
          <w:i w:val="0"/>
          <w:sz w:val="21"/>
        </w:rPr>
      </w:pPr>
      <w:r>
        <w:rPr>
          <w:rFonts w:ascii="宋体" w:hAnsi="宋体" w:eastAsia="宋体" w:cs="宋体"/>
          <w:b/>
          <w:i w:val="0"/>
          <w:sz w:val="21"/>
        </w:rPr>
        <w:t>参考答案：</w:t>
      </w:r>
    </w:p>
    <w:p w14:paraId="7A9868B9">
      <w:pPr>
        <w:shd w:val="clear" w:color="auto" w:fill="FFFFFF"/>
        <w:spacing w:line="360" w:lineRule="auto"/>
        <w:jc w:val="left"/>
        <w:textAlignment w:val="center"/>
      </w:pPr>
      <w:r>
        <w:t>1．D</w:t>
      </w:r>
    </w:p>
    <w:p w14:paraId="50CBE284">
      <w:pPr>
        <w:shd w:val="clear" w:color="auto" w:fill="FFFFFF"/>
        <w:spacing w:line="360" w:lineRule="auto"/>
        <w:jc w:val="left"/>
        <w:textAlignment w:val="center"/>
      </w:pPr>
      <w:r>
        <w:t>2．B</w:t>
      </w:r>
    </w:p>
    <w:p w14:paraId="4C64E9F9">
      <w:pPr>
        <w:shd w:val="clear" w:color="auto" w:fill="FFFFFF"/>
        <w:spacing w:line="360" w:lineRule="auto"/>
        <w:jc w:val="left"/>
        <w:textAlignment w:val="center"/>
      </w:pPr>
      <w:r>
        <w:t>3．B</w:t>
      </w:r>
    </w:p>
    <w:p w14:paraId="61D4AFE3">
      <w:pPr>
        <w:shd w:val="clear" w:color="auto" w:fill="FFFFFF"/>
        <w:spacing w:line="360" w:lineRule="auto"/>
        <w:jc w:val="left"/>
        <w:textAlignment w:val="center"/>
      </w:pPr>
      <w:r>
        <w:t>4．D</w:t>
      </w:r>
    </w:p>
    <w:p w14:paraId="0F0E070A">
      <w:pPr>
        <w:shd w:val="clear" w:color="auto" w:fill="FFFFFF"/>
        <w:spacing w:line="360" w:lineRule="auto"/>
        <w:jc w:val="left"/>
        <w:textAlignment w:val="center"/>
      </w:pPr>
      <w:r>
        <w:t>5．A</w:t>
      </w:r>
    </w:p>
    <w:p w14:paraId="73877EFB">
      <w:pPr>
        <w:shd w:val="clear" w:color="auto" w:fill="FFFFFF"/>
        <w:spacing w:line="360" w:lineRule="auto"/>
        <w:jc w:val="left"/>
        <w:textAlignment w:val="center"/>
      </w:pPr>
      <w:r>
        <w:t>6．D</w:t>
      </w:r>
    </w:p>
    <w:p w14:paraId="43DB4C0C">
      <w:pPr>
        <w:shd w:val="clear" w:color="auto" w:fill="FFFFFF"/>
        <w:spacing w:line="360" w:lineRule="auto"/>
        <w:jc w:val="left"/>
        <w:textAlignment w:val="center"/>
      </w:pPr>
      <w:r>
        <w:t>7．B</w:t>
      </w:r>
    </w:p>
    <w:p w14:paraId="621436DE">
      <w:pPr>
        <w:shd w:val="clear" w:color="auto" w:fill="FFFFFF"/>
        <w:spacing w:line="360" w:lineRule="auto"/>
        <w:jc w:val="left"/>
        <w:textAlignment w:val="center"/>
      </w:pPr>
      <w:r>
        <w:t>8．A</w:t>
      </w:r>
    </w:p>
    <w:p w14:paraId="0EBB6AAA">
      <w:pPr>
        <w:shd w:val="clear" w:color="auto" w:fill="FFFFFF"/>
        <w:spacing w:line="360" w:lineRule="auto"/>
        <w:jc w:val="left"/>
        <w:textAlignment w:val="center"/>
      </w:pPr>
      <w:r>
        <w:t>9．C</w:t>
      </w:r>
    </w:p>
    <w:p w14:paraId="05C67405">
      <w:pPr>
        <w:shd w:val="clear" w:color="auto" w:fill="FFFFFF"/>
        <w:spacing w:line="360" w:lineRule="auto"/>
        <w:jc w:val="left"/>
        <w:textAlignment w:val="center"/>
      </w:pPr>
      <w:r>
        <w:t>10．C</w:t>
      </w:r>
    </w:p>
    <w:p w14:paraId="2CD9C216">
      <w:pPr>
        <w:shd w:val="clear" w:color="auto" w:fill="FFFFFF"/>
        <w:spacing w:line="360" w:lineRule="auto"/>
        <w:jc w:val="left"/>
        <w:textAlignment w:val="center"/>
      </w:pPr>
      <w:r>
        <w:t>11．A</w:t>
      </w:r>
    </w:p>
    <w:p w14:paraId="216C56B9">
      <w:pPr>
        <w:shd w:val="clear" w:color="auto" w:fill="FFFFFF"/>
        <w:spacing w:line="360" w:lineRule="auto"/>
        <w:jc w:val="left"/>
        <w:textAlignment w:val="center"/>
      </w:pPr>
      <w:r>
        <w:t>12．A</w:t>
      </w:r>
    </w:p>
    <w:p w14:paraId="01D80454">
      <w:pPr>
        <w:shd w:val="clear" w:color="auto" w:fill="FFFFFF"/>
        <w:spacing w:line="360" w:lineRule="auto"/>
        <w:jc w:val="left"/>
        <w:textAlignment w:val="center"/>
      </w:pPr>
      <w:r>
        <w:t>13．C</w:t>
      </w:r>
    </w:p>
    <w:p w14:paraId="1729B3C4">
      <w:pPr>
        <w:shd w:val="clear" w:color="auto" w:fill="FFFFFF"/>
        <w:spacing w:line="360" w:lineRule="auto"/>
        <w:jc w:val="left"/>
        <w:textAlignment w:val="center"/>
      </w:pPr>
      <w:r>
        <w:t>14．A</w:t>
      </w:r>
    </w:p>
    <w:p w14:paraId="3D53CCDD">
      <w:pPr>
        <w:shd w:val="clear" w:color="auto" w:fill="FFFFFF"/>
        <w:spacing w:line="360" w:lineRule="auto"/>
        <w:jc w:val="left"/>
        <w:textAlignment w:val="center"/>
      </w:pPr>
      <w:r>
        <w:t>15．A</w:t>
      </w:r>
    </w:p>
    <w:p w14:paraId="64D4B6A6">
      <w:pPr>
        <w:shd w:val="clear" w:color="auto" w:fill="FFFFFF"/>
        <w:spacing w:line="360" w:lineRule="auto"/>
        <w:jc w:val="left"/>
        <w:textAlignment w:val="center"/>
      </w:pPr>
      <w:r>
        <w:t>16．①科学的宏观调控、有效的政府治理，是社会主义市场经济体制优势的内在要求。政府要切实履行好经济职能，实施促进新能源汽车发展的产业政策，保障产业链安全，促进行业高质量发展。</w:t>
      </w:r>
    </w:p>
    <w:p w14:paraId="496F5D09">
      <w:pPr>
        <w:shd w:val="clear" w:color="auto" w:fill="FFFFFF"/>
        <w:spacing w:line="360" w:lineRule="auto"/>
        <w:jc w:val="left"/>
        <w:textAlignment w:val="center"/>
      </w:pPr>
      <w:r>
        <w:t>②政府还要加强和优化公共服务，完善新能源汽车相关配套设施，创造推进新能源汽车消费的环境支持。推动有效市场和有为政府更好结合，激发各类市场主体活力。</w:t>
      </w:r>
    </w:p>
    <w:p w14:paraId="43BD6A71">
      <w:pPr>
        <w:shd w:val="clear" w:color="auto" w:fill="FFFFFF"/>
        <w:spacing w:line="360" w:lineRule="auto"/>
        <w:jc w:val="left"/>
        <w:textAlignment w:val="center"/>
      </w:pPr>
      <w:r>
        <w:t>③发展社会主义市场经济，需要充分发挥市场在资源配置中的决定性作用，通过价格、供求、竞争机制促进新能源汽车行业资源的合理配置。</w:t>
      </w:r>
    </w:p>
    <w:p w14:paraId="0E3C6FDE">
      <w:pPr>
        <w:shd w:val="clear" w:color="auto" w:fill="FFFFFF"/>
        <w:spacing w:line="360" w:lineRule="auto"/>
        <w:jc w:val="left"/>
        <w:textAlignment w:val="center"/>
      </w:pPr>
      <w:r>
        <w:t>④要推动构建统一开放、竞争有序的市场体系，建立公平开放透明的市场规则，完善主要由市场决定价格的机制，提高资源配置效率和公平性。</w:t>
      </w:r>
    </w:p>
    <w:p w14:paraId="7B836B42">
      <w:pPr>
        <w:shd w:val="clear" w:color="auto" w:fill="FFFFFF"/>
        <w:spacing w:line="360" w:lineRule="auto"/>
        <w:jc w:val="left"/>
        <w:textAlignment w:val="center"/>
      </w:pPr>
      <w:r>
        <w:t>⑤企业要坚持正确的经营方向，以市场为导向，提高自主创新能力，降低成本，提高质量，形成核心竞争力。</w:t>
      </w:r>
    </w:p>
    <w:p w14:paraId="716C6CD5">
      <w:pPr>
        <w:shd w:val="clear" w:color="auto" w:fill="FFFFFF"/>
        <w:spacing w:line="360" w:lineRule="auto"/>
        <w:jc w:val="left"/>
        <w:textAlignment w:val="center"/>
      </w:pPr>
      <w:r>
        <w:br w:type="page"/>
      </w:r>
      <w:bookmarkStart w:id="0" w:name="_GoBack"/>
      <w:bookmarkEnd w:id="0"/>
    </w:p>
    <w:sectPr>
      <w:headerReference r:id="rId5" w:type="default"/>
      <w:footerReference r:id="rId7" w:type="default"/>
      <w:headerReference r:id="rId6" w:type="even"/>
      <w:footerReference r:id="rId8"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D68F">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14:paraId="0753881A">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014B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4C54">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p w14:paraId="58778398">
    <w:pPr>
      <w:tabs>
        <w:tab w:val="center" w:pos="4153"/>
        <w:tab w:val="right" w:pos="8306"/>
      </w:tabs>
      <w:snapToGrid w:val="0"/>
      <w:jc w:val="left"/>
      <w:rPr>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4" o:spid="_x0000_s205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4623">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4FB7"/>
  <w:p w14:paraId="3EF2BF54">
    <w:pPr>
      <w:pBdr>
        <w:bottom w:val="none" w:color="auto" w:sz="0" w:space="1"/>
      </w:pBdr>
      <w:snapToGrid w:val="0"/>
      <w:rPr>
        <w:kern w:val="0"/>
        <w:sz w:val="2"/>
        <w:szCs w:val="2"/>
      </w:rPr>
    </w:pPr>
    <w:r>
      <w:pict>
        <v:shape id="图片 4" o:spid="_x0000_s2051"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BE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ZDVlNjI5NDIzNjNjOWZlN2Q4NGNjNWJjNjMzMDQifQ=="/>
  </w:docVars>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317F6138"/>
    <w:rsid w:val="689E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3557</Words>
  <Characters>3657</Characters>
  <Lines>0</Lines>
  <Paragraphs>0</Paragraphs>
  <TotalTime>3</TotalTime>
  <ScaleCrop>false</ScaleCrop>
  <LinksUpToDate>false</LinksUpToDate>
  <CharactersWithSpaces>3763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微信用户</cp:lastModifiedBy>
  <dcterms:modified xsi:type="dcterms:W3CDTF">2026-03-02T03:34:58Z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eyJoZGlkIjoiNDM3YTJmZTE4YTYyYjc2ZGUwMDMxN2RjNTRhYTE2ZjQiLCJ1c2VySWQiOiIxMjk1OTkwODkxIn0=</vt:lpwstr>
  </property>
  <property fmtid="{D5CDD505-2E9C-101B-9397-08002B2CF9AE}" pid="7" name="KSOProductBuildVer">
    <vt:lpwstr>2052-12.1.0.24034</vt:lpwstr>
  </property>
  <property fmtid="{D5CDD505-2E9C-101B-9397-08002B2CF9AE}" pid="8" name="ICV">
    <vt:lpwstr>18A16E58A57341D2B8198BF2DB3E274C_12</vt:lpwstr>
  </property>
</Properties>
</file>