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B58EE">
      <w:pPr>
        <w:pStyle w:val="2"/>
        <w:spacing w:before="62" w:line="219" w:lineRule="auto"/>
        <w:ind w:left="1200"/>
        <w:outlineLvl w:val="0"/>
        <w:rPr>
          <w:sz w:val="31"/>
          <w:szCs w:val="31"/>
        </w:rPr>
      </w:pPr>
    </w:p>
    <w:p w14:paraId="23AA2D9C">
      <w:pPr>
        <w:pStyle w:val="2"/>
        <w:spacing w:before="155" w:line="219" w:lineRule="auto"/>
        <w:ind w:left="3"/>
      </w:pPr>
      <w:r>
        <w:rPr>
          <w:b/>
          <w:bCs/>
          <w:spacing w:val="-4"/>
        </w:rPr>
        <w:t>绝密★考试结束前</w:t>
      </w:r>
    </w:p>
    <w:p w14:paraId="50197A07">
      <w:pPr>
        <w:pStyle w:val="2"/>
        <w:spacing w:before="182" w:line="336" w:lineRule="auto"/>
        <w:ind w:left="3034" w:right="181" w:hanging="3030"/>
        <w:rPr>
          <w:sz w:val="31"/>
          <w:szCs w:val="31"/>
        </w:rPr>
      </w:pPr>
      <w:r>
        <w:rPr>
          <w:b/>
          <w:bCs/>
          <w:spacing w:val="-9"/>
          <w:sz w:val="31"/>
          <w:szCs w:val="31"/>
        </w:rPr>
        <w:t>2025学年第一学期浙东北县域名校发展联盟</w:t>
      </w:r>
      <w:r>
        <w:rPr>
          <w:spacing w:val="-23"/>
          <w:sz w:val="31"/>
          <w:szCs w:val="31"/>
        </w:rPr>
        <w:t xml:space="preserve"> </w:t>
      </w:r>
      <w:r>
        <w:rPr>
          <w:b/>
          <w:bCs/>
          <w:spacing w:val="-9"/>
          <w:sz w:val="31"/>
          <w:szCs w:val="31"/>
        </w:rPr>
        <w:t>(ZDB)11</w:t>
      </w:r>
      <w:r>
        <w:rPr>
          <w:spacing w:val="127"/>
          <w:sz w:val="31"/>
          <w:szCs w:val="31"/>
        </w:rPr>
        <w:t xml:space="preserve"> </w:t>
      </w:r>
      <w:r>
        <w:rPr>
          <w:b/>
          <w:bCs/>
          <w:spacing w:val="-9"/>
          <w:sz w:val="31"/>
          <w:szCs w:val="31"/>
        </w:rPr>
        <w:t>月诊断测试</w:t>
      </w:r>
      <w:r>
        <w:rPr>
          <w:sz w:val="31"/>
          <w:szCs w:val="31"/>
        </w:rPr>
        <w:t xml:space="preserve"> </w:t>
      </w:r>
      <w:r>
        <w:rPr>
          <w:b/>
          <w:bCs/>
          <w:spacing w:val="26"/>
          <w:sz w:val="31"/>
          <w:szCs w:val="31"/>
        </w:rPr>
        <w:t>高三历史学科试题</w:t>
      </w:r>
    </w:p>
    <w:p w14:paraId="5C46644C">
      <w:pPr>
        <w:pStyle w:val="2"/>
        <w:spacing w:line="219" w:lineRule="auto"/>
        <w:ind w:left="3"/>
      </w:pPr>
      <w:r>
        <w:rPr>
          <w:b/>
          <w:bCs/>
          <w:spacing w:val="-8"/>
        </w:rPr>
        <w:t>考生须知：</w:t>
      </w:r>
    </w:p>
    <w:p w14:paraId="5B90E01A">
      <w:pPr>
        <w:pStyle w:val="2"/>
        <w:spacing w:before="102" w:line="219" w:lineRule="auto"/>
      </w:pPr>
      <w:r>
        <w:rPr>
          <w:spacing w:val="11"/>
        </w:rPr>
        <w:t>1.本试题卷共5页，满分100分，考试时间90分钟。</w:t>
      </w:r>
    </w:p>
    <w:p w14:paraId="1187297B">
      <w:pPr>
        <w:pStyle w:val="2"/>
        <w:spacing w:before="62" w:line="219" w:lineRule="auto"/>
      </w:pPr>
      <w:r>
        <w:t>2.答题前，在答题卷指定区域填写班级、姓名、考场号、座位号及准考证号。</w:t>
      </w:r>
      <w:bookmarkStart w:id="0" w:name="_GoBack"/>
      <w:bookmarkEnd w:id="0"/>
    </w:p>
    <w:p w14:paraId="1E36CB5C">
      <w:pPr>
        <w:pStyle w:val="2"/>
        <w:spacing w:before="51" w:line="220" w:lineRule="auto"/>
      </w:pPr>
      <w:r>
        <w:rPr>
          <w:spacing w:val="-1"/>
        </w:rPr>
        <w:t>3.所有答案必须写在答题卷上，写在试卷上无效。</w:t>
      </w:r>
    </w:p>
    <w:p w14:paraId="3C08E078">
      <w:pPr>
        <w:pStyle w:val="2"/>
        <w:spacing w:before="49" w:line="219" w:lineRule="auto"/>
      </w:pPr>
      <w:r>
        <w:rPr>
          <w:spacing w:val="-2"/>
        </w:rPr>
        <w:t>4.考试结束后，只需上交答题卷。</w:t>
      </w:r>
    </w:p>
    <w:p w14:paraId="376DA6FA">
      <w:pPr>
        <w:pStyle w:val="2"/>
        <w:spacing w:before="170" w:line="219" w:lineRule="auto"/>
        <w:ind w:left="3683"/>
        <w:rPr>
          <w:sz w:val="28"/>
          <w:szCs w:val="28"/>
        </w:rPr>
      </w:pPr>
      <w:r>
        <w:rPr>
          <w:b/>
          <w:bCs/>
          <w:spacing w:val="-5"/>
          <w:sz w:val="28"/>
          <w:szCs w:val="28"/>
        </w:rPr>
        <w:t>选择题部分</w:t>
      </w:r>
    </w:p>
    <w:p w14:paraId="20AEDA6E">
      <w:pPr>
        <w:pStyle w:val="2"/>
        <w:spacing w:before="185" w:line="246" w:lineRule="auto"/>
        <w:ind w:left="443" w:right="198" w:hanging="440"/>
      </w:pPr>
      <w:r>
        <w:rPr>
          <w:b/>
          <w:bCs/>
          <w:spacing w:val="5"/>
        </w:rPr>
        <w:t>一</w:t>
      </w:r>
      <w:r>
        <w:rPr>
          <w:spacing w:val="-54"/>
        </w:rPr>
        <w:t xml:space="preserve"> </w:t>
      </w:r>
      <w:r>
        <w:rPr>
          <w:b/>
          <w:bCs/>
          <w:spacing w:val="5"/>
        </w:rPr>
        <w:t>、选择题</w:t>
      </w:r>
      <w:r>
        <w:rPr>
          <w:rFonts w:ascii="Times New Roman" w:hAnsi="Times New Roman" w:eastAsia="Times New Roman" w:cs="Times New Roman"/>
          <w:b/>
          <w:bCs/>
          <w:spacing w:val="5"/>
        </w:rPr>
        <w:t>I</w:t>
      </w:r>
      <w:r>
        <w:rPr>
          <w:b/>
          <w:bCs/>
          <w:spacing w:val="5"/>
        </w:rPr>
        <w:t>(本大题共6小题，每小题2分，共12分。每小题列出的四个备选项中只有一</w:t>
      </w:r>
      <w:r>
        <w:rPr>
          <w:b/>
          <w:bCs/>
          <w:spacing w:val="4"/>
        </w:rPr>
        <w:t>个是</w:t>
      </w:r>
      <w:r>
        <w:t xml:space="preserve"> </w:t>
      </w:r>
      <w:r>
        <w:rPr>
          <w:b/>
          <w:bCs/>
        </w:rPr>
        <w:t>符合题目要求的，不选、多选、错选均不得分)</w:t>
      </w:r>
    </w:p>
    <w:p w14:paraId="00C549C7">
      <w:pPr>
        <w:pStyle w:val="2"/>
        <w:spacing w:before="64" w:line="279" w:lineRule="auto"/>
        <w:ind w:left="228" w:hanging="229"/>
      </w:pPr>
      <w:r>
        <w:rPr>
          <w:spacing w:val="3"/>
        </w:rPr>
        <w:t>1.康熙五十九年，康熙帝谕：“今大兵得藏，边外诸番悉心归化</w:t>
      </w:r>
      <w:r>
        <w:rPr>
          <w:spacing w:val="2"/>
        </w:rPr>
        <w:t>，三藏阿里之地，俱入版图。”</w:t>
      </w:r>
      <w:r>
        <w:t xml:space="preserve"> </w:t>
      </w:r>
      <w:r>
        <w:rPr>
          <w:spacing w:val="6"/>
        </w:rPr>
        <w:t>为了治理好“三藏阿里之地”,康熙</w:t>
      </w:r>
    </w:p>
    <w:p w14:paraId="05242516">
      <w:pPr>
        <w:pStyle w:val="2"/>
        <w:spacing w:before="15" w:line="219" w:lineRule="auto"/>
        <w:ind w:left="320"/>
      </w:pPr>
      <w:r>
        <w:rPr>
          <w:rFonts w:ascii="Times New Roman" w:hAnsi="Times New Roman" w:eastAsia="Times New Roman" w:cs="Times New Roman"/>
        </w:rPr>
        <w:t>A.</w:t>
      </w:r>
      <w:r>
        <w:rPr>
          <w:rFonts w:ascii="Times New Roman" w:hAnsi="Times New Roman" w:eastAsia="Times New Roman" w:cs="Times New Roman"/>
          <w:spacing w:val="28"/>
        </w:rPr>
        <w:t xml:space="preserve">  </w:t>
      </w:r>
      <w:r>
        <w:t>册封格鲁派领袖五世班禅</w:t>
      </w:r>
      <w:r>
        <w:rPr>
          <w:spacing w:val="4"/>
        </w:rPr>
        <w:t xml:space="preserve">               </w:t>
      </w:r>
      <w:r>
        <w:rPr>
          <w:rFonts w:ascii="Times New Roman" w:hAnsi="Times New Roman" w:eastAsia="Times New Roman" w:cs="Times New Roman"/>
        </w:rPr>
        <w:t>B.</w:t>
      </w:r>
      <w:r>
        <w:rPr>
          <w:rFonts w:ascii="Times New Roman" w:hAnsi="Times New Roman" w:eastAsia="Times New Roman" w:cs="Times New Roman"/>
          <w:spacing w:val="30"/>
        </w:rPr>
        <w:t xml:space="preserve">  </w:t>
      </w:r>
      <w:r>
        <w:t>实行大规模改土归流</w:t>
      </w:r>
    </w:p>
    <w:p w14:paraId="6E545B74">
      <w:pPr>
        <w:pStyle w:val="2"/>
        <w:spacing w:before="50" w:line="219" w:lineRule="auto"/>
        <w:ind w:left="320"/>
      </w:pPr>
      <w:r>
        <w:rPr>
          <w:rFonts w:ascii="Times New Roman" w:hAnsi="Times New Roman" w:eastAsia="Times New Roman" w:cs="Times New Roman"/>
          <w:spacing w:val="3"/>
        </w:rPr>
        <w:t xml:space="preserve">C.   </w:t>
      </w:r>
      <w:r>
        <w:rPr>
          <w:spacing w:val="3"/>
        </w:rPr>
        <w:t>实行盟、旗两级单位统治               D</w:t>
      </w:r>
      <w:r>
        <w:rPr>
          <w:spacing w:val="2"/>
        </w:rPr>
        <w:t>.</w:t>
      </w:r>
      <w:r>
        <w:rPr>
          <w:spacing w:val="39"/>
        </w:rPr>
        <w:t xml:space="preserve"> </w:t>
      </w:r>
      <w:r>
        <w:rPr>
          <w:spacing w:val="2"/>
        </w:rPr>
        <w:t>颁布《钦定藏内善后章程》29条</w:t>
      </w:r>
    </w:p>
    <w:p w14:paraId="7C126D8E">
      <w:pPr>
        <w:pStyle w:val="2"/>
        <w:spacing w:before="72" w:line="219" w:lineRule="auto"/>
      </w:pPr>
      <w:r>
        <w:rPr>
          <w:spacing w:val="-1"/>
        </w:rPr>
        <w:t>2.下图是近代某一时期张贴于北京西城的一张揭帖。与此揭帖直接相关的历史事</w:t>
      </w:r>
      <w:r>
        <w:rPr>
          <w:spacing w:val="-2"/>
        </w:rPr>
        <w:t>件是</w:t>
      </w:r>
    </w:p>
    <w:p w14:paraId="73F44203">
      <w:pPr>
        <w:spacing w:before="92" w:line="1198" w:lineRule="exact"/>
        <w:ind w:firstLine="1140"/>
      </w:pPr>
      <w:r>
        <w:rPr>
          <w:position w:val="-23"/>
        </w:rPr>
        <w:pict>
          <v:group id="_x0000_s1026" o:spid="_x0000_s1026" o:spt="203" style="height:59.95pt;width:281pt;" coordsize="5620,1199">
            <o:lock v:ext="edit"/>
            <v:shape id="_x0000_s1027" o:spid="_x0000_s1027" o:spt="75" type="#_x0000_t75" style="position:absolute;left:0;top:0;height:1170;width:5620;" filled="f" stroked="f" coordsize="21600,21600">
              <v:path/>
              <v:fill on="f" focussize="0,0"/>
              <v:stroke on="f"/>
              <v:imagedata r:id="rId13" o:title=""/>
              <o:lock v:ext="edit" aspectratio="t"/>
            </v:shape>
            <v:shape id="_x0000_s1028" o:spid="_x0000_s1028" o:spt="202" type="#_x0000_t202" style="position:absolute;left:-20;top:-20;height:1239;width:5660;" filled="f" stroked="f" coordsize="21600,21600">
              <v:path/>
              <v:fill on="f" focussize="0,0"/>
              <v:stroke on="f"/>
              <v:imagedata o:title=""/>
              <o:lock v:ext="edit" aspectratio="f"/>
              <v:textbox inset="0mm,0mm,0mm,0mm">
                <w:txbxContent>
                  <w:p w14:paraId="3AF490A8">
                    <w:pPr>
                      <w:spacing w:before="75" w:line="186" w:lineRule="auto"/>
                      <w:ind w:left="83"/>
                      <w:rPr>
                        <w:rFonts w:ascii="黑体" w:hAnsi="黑体" w:eastAsia="黑体" w:cs="黑体"/>
                        <w:sz w:val="21"/>
                        <w:szCs w:val="21"/>
                      </w:rPr>
                    </w:pPr>
                    <w:r>
                      <w:rPr>
                        <w:rFonts w:ascii="黑体" w:hAnsi="黑体" w:eastAsia="黑体" w:cs="黑体"/>
                        <w:b/>
                        <w:bCs/>
                        <w:color w:val="FFFFFF"/>
                        <w:spacing w:val="-9"/>
                        <w:sz w:val="21"/>
                        <w:szCs w:val="21"/>
                      </w:rPr>
                      <w:t>玉皇大帝降谕：</w:t>
                    </w:r>
                  </w:p>
                  <w:p w14:paraId="1443A961">
                    <w:pPr>
                      <w:spacing w:line="211" w:lineRule="auto"/>
                      <w:ind w:left="82" w:right="243" w:firstLine="409"/>
                      <w:jc w:val="both"/>
                      <w:rPr>
                        <w:rFonts w:ascii="黑体" w:hAnsi="黑体" w:eastAsia="黑体" w:cs="黑体"/>
                        <w:sz w:val="21"/>
                        <w:szCs w:val="21"/>
                      </w:rPr>
                    </w:pPr>
                    <w:r>
                      <w:rPr>
                        <w:rFonts w:ascii="黑体" w:hAnsi="黑体" w:eastAsia="黑体" w:cs="黑体"/>
                        <w:b/>
                        <w:bCs/>
                        <w:color w:val="FFFFFF"/>
                        <w:spacing w:val="-7"/>
                        <w:sz w:val="21"/>
                        <w:szCs w:val="21"/>
                      </w:rPr>
                      <w:t>天意命汝等先拆电线，次毁铁路，最后杀尽洋</w:t>
                    </w:r>
                    <w:r>
                      <w:rPr>
                        <w:rFonts w:ascii="黑体" w:hAnsi="黑体" w:eastAsia="黑体" w:cs="黑体"/>
                        <w:b/>
                        <w:bCs/>
                        <w:color w:val="FFFFFF"/>
                        <w:spacing w:val="-8"/>
                        <w:sz w:val="21"/>
                        <w:szCs w:val="21"/>
                      </w:rPr>
                      <w:t>鬼子。今</w:t>
                    </w:r>
                    <w:r>
                      <w:rPr>
                        <w:rFonts w:ascii="黑体" w:hAnsi="黑体" w:eastAsia="黑体" w:cs="黑体"/>
                        <w:color w:val="FFFFFF"/>
                        <w:sz w:val="21"/>
                        <w:szCs w:val="21"/>
                      </w:rPr>
                      <w:t xml:space="preserve"> </w:t>
                    </w:r>
                    <w:r>
                      <w:rPr>
                        <w:rFonts w:ascii="黑体" w:hAnsi="黑体" w:eastAsia="黑体" w:cs="黑体"/>
                        <w:b/>
                        <w:bCs/>
                        <w:color w:val="FFFFFF"/>
                        <w:spacing w:val="-8"/>
                        <w:sz w:val="21"/>
                        <w:szCs w:val="21"/>
                      </w:rPr>
                      <w:t>天不下雨，乃因洋鬼子鹅乱所致。汝辈皆虔心奉神之人，应</w:t>
                    </w:r>
                    <w:r>
                      <w:rPr>
                        <w:rFonts w:ascii="黑体" w:hAnsi="黑体" w:eastAsia="黑体" w:cs="黑体"/>
                        <w:color w:val="FFFFFF"/>
                        <w:spacing w:val="8"/>
                        <w:sz w:val="21"/>
                        <w:szCs w:val="21"/>
                      </w:rPr>
                      <w:t xml:space="preserve"> </w:t>
                    </w:r>
                    <w:r>
                      <w:rPr>
                        <w:rFonts w:ascii="黑体" w:hAnsi="黑体" w:eastAsia="黑体" w:cs="黑体"/>
                        <w:b/>
                        <w:bCs/>
                        <w:color w:val="FFFFFF"/>
                        <w:spacing w:val="-7"/>
                        <w:sz w:val="21"/>
                        <w:szCs w:val="21"/>
                      </w:rPr>
                      <w:t>协力同心，共灭洋鬼子，以熄天怒。善行必有善报，</w:t>
                    </w:r>
                    <w:r>
                      <w:rPr>
                        <w:rFonts w:ascii="黑体" w:hAnsi="黑体" w:eastAsia="黑体" w:cs="黑体"/>
                        <w:b/>
                        <w:bCs/>
                        <w:color w:val="FFFFFF"/>
                        <w:spacing w:val="-8"/>
                        <w:sz w:val="21"/>
                        <w:szCs w:val="21"/>
                      </w:rPr>
                      <w:t>消灭洋</w:t>
                    </w:r>
                    <w:r>
                      <w:rPr>
                        <w:rFonts w:ascii="黑体" w:hAnsi="黑体" w:eastAsia="黑体" w:cs="黑体"/>
                        <w:color w:val="FFFFFF"/>
                        <w:sz w:val="21"/>
                        <w:szCs w:val="21"/>
                      </w:rPr>
                      <w:t xml:space="preserve"> </w:t>
                    </w:r>
                    <w:r>
                      <w:rPr>
                        <w:rFonts w:ascii="黑体" w:hAnsi="黑体" w:eastAsia="黑体" w:cs="黑体"/>
                        <w:b/>
                        <w:bCs/>
                        <w:color w:val="FFFFFF"/>
                        <w:spacing w:val="-8"/>
                        <w:sz w:val="21"/>
                        <w:szCs w:val="21"/>
                      </w:rPr>
                      <w:t>鬼子之日，便是风调雨顺之时</w:t>
                    </w:r>
                  </w:p>
                </w:txbxContent>
              </v:textbox>
            </v:shape>
            <w10:wrap type="none"/>
            <w10:anchorlock/>
          </v:group>
        </w:pict>
      </w:r>
    </w:p>
    <w:p w14:paraId="3DDEFB02">
      <w:pPr>
        <w:pStyle w:val="2"/>
        <w:spacing w:before="11" w:line="219" w:lineRule="auto"/>
        <w:ind w:left="3710"/>
      </w:pPr>
      <w:r>
        <w:rPr>
          <w:spacing w:val="3"/>
        </w:rPr>
        <w:t>第2题图</w:t>
      </w:r>
    </w:p>
    <w:p w14:paraId="16E91606">
      <w:pPr>
        <w:pStyle w:val="2"/>
        <w:spacing w:before="70" w:line="220" w:lineRule="auto"/>
        <w:ind w:left="320"/>
      </w:pPr>
      <w:r>
        <w:rPr>
          <w:rFonts w:ascii="Times New Roman" w:hAnsi="Times New Roman" w:eastAsia="Times New Roman" w:cs="Times New Roman"/>
        </w:rPr>
        <w:t>A.</w:t>
      </w:r>
      <w:r>
        <w:rPr>
          <w:rFonts w:ascii="Times New Roman" w:hAnsi="Times New Roman" w:eastAsia="Times New Roman" w:cs="Times New Roman"/>
          <w:spacing w:val="4"/>
        </w:rPr>
        <w:t xml:space="preserve">   </w:t>
      </w:r>
      <w:r>
        <w:t xml:space="preserve">太平天国运动     </w:t>
      </w:r>
      <w:r>
        <w:rPr>
          <w:rFonts w:ascii="Times New Roman" w:hAnsi="Times New Roman" w:eastAsia="Times New Roman" w:cs="Times New Roman"/>
        </w:rPr>
        <w:t xml:space="preserve">B.   </w:t>
      </w:r>
      <w:r>
        <w:t>洋务运动</w:t>
      </w:r>
      <w:r>
        <w:rPr>
          <w:spacing w:val="7"/>
        </w:rPr>
        <w:t xml:space="preserve">        </w:t>
      </w:r>
      <w:r>
        <w:t>C.</w:t>
      </w:r>
      <w:r>
        <w:rPr>
          <w:spacing w:val="52"/>
        </w:rPr>
        <w:t xml:space="preserve"> </w:t>
      </w:r>
      <w:r>
        <w:t xml:space="preserve">义和团运动       </w:t>
      </w:r>
      <w:r>
        <w:rPr>
          <w:rFonts w:ascii="Times New Roman" w:hAnsi="Times New Roman" w:eastAsia="Times New Roman" w:cs="Times New Roman"/>
        </w:rPr>
        <w:t xml:space="preserve">D.   </w:t>
      </w:r>
      <w:r>
        <w:t>辛亥革命</w:t>
      </w:r>
    </w:p>
    <w:p w14:paraId="6AA8544A">
      <w:pPr>
        <w:pStyle w:val="2"/>
        <w:spacing w:before="50" w:line="273" w:lineRule="auto"/>
        <w:ind w:left="1680" w:right="4161" w:hanging="1680"/>
        <w:rPr>
          <w:rFonts w:ascii="黑体" w:hAnsi="黑体" w:eastAsia="黑体" w:cs="黑体"/>
          <w:sz w:val="16"/>
          <w:szCs w:val="16"/>
        </w:rPr>
      </w:pPr>
      <w:r>
        <w:rPr>
          <w:spacing w:val="-3"/>
        </w:rPr>
        <w:t>3.下图阐释了中国共产党某次会议特点。这次会议是</w:t>
      </w:r>
      <w:r>
        <w:rPr>
          <w:spacing w:val="16"/>
        </w:rPr>
        <w:t xml:space="preserve"> </w:t>
      </w:r>
      <w:r>
        <w:rPr>
          <w:rFonts w:ascii="黑体" w:hAnsi="黑体" w:eastAsia="黑体" w:cs="黑体"/>
          <w:spacing w:val="8"/>
          <w:sz w:val="16"/>
          <w:szCs w:val="16"/>
        </w:rPr>
        <w:t>.紧急性与秘密性：</w:t>
      </w:r>
    </w:p>
    <w:p w14:paraId="753FB035">
      <w:pPr>
        <w:spacing w:before="53" w:line="213" w:lineRule="auto"/>
        <w:ind w:left="1810"/>
        <w:rPr>
          <w:rFonts w:ascii="黑体" w:hAnsi="黑体" w:eastAsia="黑体" w:cs="黑体"/>
          <w:sz w:val="16"/>
          <w:szCs w:val="16"/>
        </w:rPr>
      </w:pPr>
      <w:r>
        <w:rPr>
          <w:rFonts w:ascii="黑体" w:hAnsi="黑体" w:eastAsia="黑体" w:cs="黑体"/>
          <w:spacing w:val="-3"/>
          <w:sz w:val="16"/>
          <w:szCs w:val="16"/>
        </w:rPr>
        <w:t>·会议在国民党“白色恐怖”下仓促召开，强调快速决策与隐蔽行动。</w:t>
      </w:r>
    </w:p>
    <w:p w14:paraId="5D1BA008">
      <w:pPr>
        <w:spacing w:before="103" w:line="222" w:lineRule="auto"/>
        <w:ind w:left="1640"/>
        <w:rPr>
          <w:rFonts w:ascii="黑体" w:hAnsi="黑体" w:eastAsia="黑体" w:cs="黑体"/>
          <w:sz w:val="16"/>
          <w:szCs w:val="16"/>
        </w:rPr>
      </w:pPr>
      <w:r>
        <w:rPr>
          <w:rFonts w:ascii="黑体" w:hAnsi="黑体" w:eastAsia="黑体" w:cs="黑体"/>
          <w:spacing w:val="14"/>
          <w:sz w:val="16"/>
          <w:szCs w:val="16"/>
        </w:rPr>
        <w:t>.纠错与转折：</w:t>
      </w:r>
    </w:p>
    <w:p w14:paraId="6D38904F">
      <w:pPr>
        <w:spacing w:before="70" w:line="213" w:lineRule="auto"/>
        <w:ind w:left="1810"/>
        <w:rPr>
          <w:rFonts w:ascii="黑体" w:hAnsi="黑体" w:eastAsia="黑体" w:cs="黑体"/>
          <w:sz w:val="14"/>
          <w:szCs w:val="14"/>
        </w:rPr>
      </w:pPr>
      <w:r>
        <w:rPr>
          <w:rFonts w:ascii="黑体" w:hAnsi="黑体" w:eastAsia="黑体" w:cs="黑体"/>
          <w:spacing w:val="6"/>
          <w:sz w:val="14"/>
          <w:szCs w:val="14"/>
        </w:rPr>
        <w:t>●清算右倾路线，标志中共从“联合”转向“独立斗争”。</w:t>
      </w:r>
    </w:p>
    <w:p w14:paraId="6E292D2A">
      <w:pPr>
        <w:spacing w:before="105" w:line="221" w:lineRule="auto"/>
        <w:ind w:left="1640"/>
        <w:rPr>
          <w:rFonts w:ascii="黑体" w:hAnsi="黑体" w:eastAsia="黑体" w:cs="黑体"/>
          <w:sz w:val="16"/>
          <w:szCs w:val="16"/>
        </w:rPr>
      </w:pPr>
      <w:r>
        <w:rPr>
          <w:rFonts w:ascii="黑体" w:hAnsi="黑体" w:eastAsia="黑体" w:cs="黑体"/>
          <w:spacing w:val="9"/>
          <w:sz w:val="16"/>
          <w:szCs w:val="16"/>
        </w:rPr>
        <w:t>.</w:t>
      </w:r>
      <w:r>
        <w:rPr>
          <w:rFonts w:ascii="黑体" w:hAnsi="黑体" w:eastAsia="黑体" w:cs="黑体"/>
          <w:spacing w:val="-45"/>
          <w:sz w:val="16"/>
          <w:szCs w:val="16"/>
        </w:rPr>
        <w:t xml:space="preserve"> </w:t>
      </w:r>
      <w:r>
        <w:rPr>
          <w:rFonts w:ascii="黑体" w:hAnsi="黑体" w:eastAsia="黑体" w:cs="黑体"/>
          <w:spacing w:val="9"/>
          <w:sz w:val="16"/>
          <w:szCs w:val="16"/>
        </w:rPr>
        <w:t>革命新方针：</w:t>
      </w:r>
    </w:p>
    <w:p w14:paraId="0E514121">
      <w:pPr>
        <w:spacing w:before="62" w:line="213" w:lineRule="auto"/>
        <w:ind w:left="1810"/>
        <w:rPr>
          <w:rFonts w:ascii="黑体" w:hAnsi="黑体" w:eastAsia="黑体" w:cs="黑体"/>
          <w:sz w:val="16"/>
          <w:szCs w:val="16"/>
        </w:rPr>
      </w:pPr>
      <w:r>
        <w:rPr>
          <w:rFonts w:ascii="黑体" w:hAnsi="黑体" w:eastAsia="黑体" w:cs="黑体"/>
          <w:spacing w:val="3"/>
          <w:sz w:val="16"/>
          <w:szCs w:val="16"/>
        </w:rPr>
        <w:t>●将土地革命与武装斗争结合，奠定后续革命策略基础。</w:t>
      </w:r>
    </w:p>
    <w:p w14:paraId="58474071">
      <w:pPr>
        <w:pStyle w:val="2"/>
        <w:spacing w:before="126" w:line="180" w:lineRule="auto"/>
        <w:ind w:left="4000"/>
      </w:pPr>
      <w:r>
        <w:rPr>
          <w:spacing w:val="5"/>
        </w:rPr>
        <w:t>第3题图</w:t>
      </w:r>
    </w:p>
    <w:p w14:paraId="25A0DC04">
      <w:pPr>
        <w:pStyle w:val="2"/>
        <w:spacing w:line="223" w:lineRule="auto"/>
        <w:ind w:left="320"/>
      </w:pPr>
      <w:r>
        <w:rPr>
          <w:rFonts w:ascii="Times New Roman" w:hAnsi="Times New Roman" w:eastAsia="Times New Roman" w:cs="Times New Roman"/>
          <w:spacing w:val="1"/>
        </w:rPr>
        <w:t xml:space="preserve">A.   </w:t>
      </w:r>
      <w:r>
        <w:rPr>
          <w:spacing w:val="1"/>
        </w:rPr>
        <w:t>中共二大</w:t>
      </w:r>
      <w:r>
        <w:rPr>
          <w:spacing w:val="4"/>
        </w:rPr>
        <w:t xml:space="preserve">         </w:t>
      </w:r>
      <w:r>
        <w:rPr>
          <w:rFonts w:ascii="Times New Roman" w:hAnsi="Times New Roman" w:eastAsia="Times New Roman" w:cs="Times New Roman"/>
          <w:spacing w:val="1"/>
          <w:position w:val="1"/>
        </w:rPr>
        <w:t xml:space="preserve">B.   </w:t>
      </w:r>
      <w:r>
        <w:rPr>
          <w:spacing w:val="1"/>
          <w:position w:val="1"/>
        </w:rPr>
        <w:t>中共三大</w:t>
      </w:r>
      <w:r>
        <w:rPr>
          <w:spacing w:val="8"/>
          <w:position w:val="1"/>
        </w:rPr>
        <w:t xml:space="preserve">        </w:t>
      </w:r>
      <w:r>
        <w:rPr>
          <w:spacing w:val="1"/>
        </w:rPr>
        <w:t>C.</w:t>
      </w:r>
      <w:r>
        <w:rPr>
          <w:spacing w:val="42"/>
        </w:rPr>
        <w:t xml:space="preserve"> </w:t>
      </w:r>
      <w:r>
        <w:rPr>
          <w:spacing w:val="1"/>
        </w:rPr>
        <w:t>八七会议</w:t>
      </w:r>
      <w:r>
        <w:rPr>
          <w:spacing w:val="7"/>
        </w:rPr>
        <w:t xml:space="preserve">        </w:t>
      </w:r>
      <w:r>
        <w:rPr>
          <w:rFonts w:ascii="Times New Roman" w:hAnsi="Times New Roman" w:eastAsia="Times New Roman" w:cs="Times New Roman"/>
          <w:spacing w:val="1"/>
        </w:rPr>
        <w:t xml:space="preserve">D.   </w:t>
      </w:r>
      <w:r>
        <w:rPr>
          <w:spacing w:val="1"/>
        </w:rPr>
        <w:t>古田会议</w:t>
      </w:r>
    </w:p>
    <w:p w14:paraId="507DB7F7">
      <w:pPr>
        <w:pStyle w:val="2"/>
        <w:spacing w:before="59" w:line="275" w:lineRule="auto"/>
        <w:ind w:left="228" w:right="192" w:hanging="229"/>
      </w:pPr>
      <w:r>
        <w:rPr>
          <w:spacing w:val="3"/>
        </w:rPr>
        <w:t>4. “它是1949年后两岸领导人首次直接会面，被国际媒体称为‘穿越66年时空的握</w:t>
      </w:r>
      <w:r>
        <w:rPr>
          <w:spacing w:val="2"/>
        </w:rPr>
        <w:t>手’,标志</w:t>
      </w:r>
      <w:r>
        <w:t xml:space="preserve"> </w:t>
      </w:r>
      <w:r>
        <w:rPr>
          <w:spacing w:val="-2"/>
        </w:rPr>
        <w:t>着两岸关系进入新阶段”。会面以“九二共识</w:t>
      </w:r>
      <w:r>
        <w:rPr>
          <w:spacing w:val="-3"/>
        </w:rPr>
        <w:t>”为基础，为两岸政治对话树立范本，被学者视</w:t>
      </w:r>
      <w:r>
        <w:t xml:space="preserve"> </w:t>
      </w:r>
      <w:r>
        <w:rPr>
          <w:spacing w:val="3"/>
        </w:rPr>
        <w:t>为“两岸关系发展史上的分水岭”。这次“穿越66年时空握手”的地点是在</w:t>
      </w:r>
    </w:p>
    <w:p w14:paraId="4DEC79B4">
      <w:pPr>
        <w:pStyle w:val="2"/>
        <w:spacing w:before="4" w:line="220" w:lineRule="auto"/>
        <w:ind w:left="320"/>
      </w:pPr>
      <w:r>
        <w:rPr>
          <w:rFonts w:ascii="Times New Roman" w:hAnsi="Times New Roman" w:eastAsia="Times New Roman" w:cs="Times New Roman"/>
          <w:spacing w:val="2"/>
        </w:rPr>
        <w:t xml:space="preserve">A.   </w:t>
      </w:r>
      <w:r>
        <w:rPr>
          <w:spacing w:val="2"/>
        </w:rPr>
        <w:t>中国北京         B.</w:t>
      </w:r>
      <w:r>
        <w:rPr>
          <w:spacing w:val="39"/>
        </w:rPr>
        <w:t xml:space="preserve"> </w:t>
      </w:r>
      <w:r>
        <w:rPr>
          <w:spacing w:val="2"/>
        </w:rPr>
        <w:t>中国香港         C.</w:t>
      </w:r>
      <w:r>
        <w:rPr>
          <w:spacing w:val="41"/>
        </w:rPr>
        <w:t xml:space="preserve"> </w:t>
      </w:r>
      <w:r>
        <w:rPr>
          <w:spacing w:val="2"/>
        </w:rPr>
        <w:t>新加</w:t>
      </w:r>
      <w:r>
        <w:rPr>
          <w:spacing w:val="1"/>
        </w:rPr>
        <w:t>坡          D.</w:t>
      </w:r>
      <w:r>
        <w:rPr>
          <w:spacing w:val="49"/>
        </w:rPr>
        <w:t xml:space="preserve"> </w:t>
      </w:r>
      <w:r>
        <w:rPr>
          <w:spacing w:val="1"/>
        </w:rPr>
        <w:t>印度尼西亚万隆</w:t>
      </w:r>
    </w:p>
    <w:p w14:paraId="1A8A7C0C">
      <w:pPr>
        <w:pStyle w:val="2"/>
        <w:spacing w:before="40" w:line="272" w:lineRule="auto"/>
        <w:ind w:left="170" w:right="195" w:hanging="170"/>
      </w:pPr>
      <w:r>
        <w:rPr>
          <w:spacing w:val="-2"/>
        </w:rPr>
        <w:t>5.我国历史学界的主流观点认为某一事件兼具民族解放战争与资产阶</w:t>
      </w:r>
      <w:r>
        <w:rPr>
          <w:spacing w:val="-3"/>
        </w:rPr>
        <w:t>级革命的双重属性，既推翻</w:t>
      </w:r>
      <w:r>
        <w:t xml:space="preserve"> </w:t>
      </w:r>
      <w:r>
        <w:rPr>
          <w:spacing w:val="-1"/>
        </w:rPr>
        <w:t>殖民统治，又确立资本主义政治框架；同时，也保留了奴隶制并剥夺原住民土地，暴露了局限</w:t>
      </w:r>
      <w:r>
        <w:rPr>
          <w:spacing w:val="1"/>
        </w:rPr>
        <w:t xml:space="preserve"> 性。这一事件是</w:t>
      </w:r>
    </w:p>
    <w:p w14:paraId="302B5266">
      <w:pPr>
        <w:pStyle w:val="2"/>
        <w:spacing w:before="1" w:line="228" w:lineRule="auto"/>
        <w:ind w:left="320"/>
      </w:pPr>
      <w:r>
        <w:rPr>
          <w:spacing w:val="1"/>
        </w:rPr>
        <w:t>A.</w:t>
      </w:r>
      <w:r>
        <w:rPr>
          <w:spacing w:val="50"/>
        </w:rPr>
        <w:t xml:space="preserve"> </w:t>
      </w:r>
      <w:r>
        <w:rPr>
          <w:spacing w:val="1"/>
        </w:rPr>
        <w:t>英国资产阶级革命</w:t>
      </w:r>
      <w:r>
        <w:rPr>
          <w:spacing w:val="64"/>
        </w:rPr>
        <w:t xml:space="preserve"> </w:t>
      </w:r>
      <w:r>
        <w:rPr>
          <w:spacing w:val="1"/>
        </w:rPr>
        <w:t>B.</w:t>
      </w:r>
      <w:r>
        <w:rPr>
          <w:spacing w:val="39"/>
        </w:rPr>
        <w:t xml:space="preserve"> </w:t>
      </w:r>
      <w:r>
        <w:rPr>
          <w:spacing w:val="1"/>
        </w:rPr>
        <w:t>北美独立战争    C.</w:t>
      </w:r>
      <w:r>
        <w:rPr>
          <w:spacing w:val="41"/>
        </w:rPr>
        <w:t xml:space="preserve"> </w:t>
      </w:r>
      <w:r>
        <w:rPr>
          <w:spacing w:val="1"/>
        </w:rPr>
        <w:t xml:space="preserve">法国大革命       </w:t>
      </w:r>
      <w:r>
        <w:rPr>
          <w:spacing w:val="1"/>
          <w:position w:val="1"/>
        </w:rPr>
        <w:t>D.</w:t>
      </w:r>
      <w:r>
        <w:rPr>
          <w:spacing w:val="39"/>
          <w:position w:val="1"/>
        </w:rPr>
        <w:t xml:space="preserve"> </w:t>
      </w:r>
      <w:r>
        <w:rPr>
          <w:spacing w:val="1"/>
          <w:position w:val="1"/>
        </w:rPr>
        <w:t>日本明治维新</w:t>
      </w:r>
    </w:p>
    <w:p w14:paraId="37C99075">
      <w:pPr>
        <w:pStyle w:val="2"/>
        <w:spacing w:before="291" w:line="219" w:lineRule="auto"/>
        <w:ind w:left="3220"/>
      </w:pPr>
      <w:r>
        <w:rPr>
          <w:spacing w:val="2"/>
        </w:rPr>
        <w:t>高三历史试题第1页共5页</w:t>
      </w:r>
    </w:p>
    <w:p w14:paraId="6EF0FE7A">
      <w:pPr>
        <w:spacing w:line="219" w:lineRule="auto"/>
        <w:sectPr>
          <w:headerReference r:id="rId5" w:type="default"/>
          <w:pgSz w:w="10440" w:h="14740"/>
          <w:pgMar w:top="300" w:right="683" w:bottom="0" w:left="819" w:header="0" w:footer="0" w:gutter="0"/>
          <w:cols w:space="720" w:num="1"/>
        </w:sectPr>
      </w:pPr>
    </w:p>
    <w:p w14:paraId="1140D67F">
      <w:pPr>
        <w:pStyle w:val="2"/>
        <w:spacing w:before="184" w:line="265" w:lineRule="auto"/>
        <w:ind w:left="170" w:right="235" w:hanging="170"/>
      </w:pPr>
      <w:r>
        <w:rPr>
          <w:spacing w:val="-2"/>
        </w:rPr>
        <w:t>6.1938年，吞并奥地利后，德国立即以“保护德意志少数民族”为由，指使苏台德区纳粹分子提</w:t>
      </w:r>
      <w:r>
        <w:rPr>
          <w:spacing w:val="8"/>
        </w:rPr>
        <w:t xml:space="preserve"> </w:t>
      </w:r>
      <w:r>
        <w:rPr>
          <w:spacing w:val="-5"/>
        </w:rPr>
        <w:t>出“自治”要求，并煽动暴力事件制造借口。希特勒宣称捷克斯洛伐克政府“迫害日耳曼</w:t>
      </w:r>
      <w:r>
        <w:rPr>
          <w:spacing w:val="-6"/>
        </w:rPr>
        <w:t>人”,</w:t>
      </w:r>
      <w:r>
        <w:t xml:space="preserve"> </w:t>
      </w:r>
      <w:r>
        <w:rPr>
          <w:spacing w:val="-1"/>
        </w:rPr>
        <w:t>要求割让苏台德区，同时秘密部署军事威胁。为此，英法</w:t>
      </w:r>
    </w:p>
    <w:p w14:paraId="7EE18B1A">
      <w:pPr>
        <w:pStyle w:val="2"/>
        <w:spacing w:before="35" w:line="219" w:lineRule="auto"/>
        <w:ind w:left="300"/>
      </w:pPr>
      <w:r>
        <w:rPr>
          <w:rFonts w:ascii="Times New Roman" w:hAnsi="Times New Roman" w:eastAsia="Times New Roman" w:cs="Times New Roman"/>
          <w:spacing w:val="1"/>
        </w:rPr>
        <w:t xml:space="preserve">A.   </w:t>
      </w:r>
      <w:r>
        <w:rPr>
          <w:spacing w:val="1"/>
        </w:rPr>
        <w:t>要求国际联盟军事干预</w:t>
      </w:r>
      <w:r>
        <w:rPr>
          <w:spacing w:val="3"/>
        </w:rPr>
        <w:t xml:space="preserve">                 </w:t>
      </w:r>
      <w:r>
        <w:rPr>
          <w:rFonts w:ascii="Times New Roman" w:hAnsi="Times New Roman" w:eastAsia="Times New Roman" w:cs="Times New Roman"/>
          <w:spacing w:val="1"/>
        </w:rPr>
        <w:t xml:space="preserve">B.   </w:t>
      </w:r>
      <w:r>
        <w:t>对德国宣战</w:t>
      </w:r>
    </w:p>
    <w:p w14:paraId="6915A459">
      <w:pPr>
        <w:pStyle w:val="2"/>
        <w:spacing w:before="60" w:line="219" w:lineRule="auto"/>
        <w:ind w:left="300"/>
      </w:pPr>
      <w:r>
        <w:rPr>
          <w:rFonts w:ascii="Times New Roman" w:hAnsi="Times New Roman" w:eastAsia="Times New Roman" w:cs="Times New Roman"/>
          <w:spacing w:val="1"/>
        </w:rPr>
        <w:t xml:space="preserve">C.   </w:t>
      </w:r>
      <w:r>
        <w:rPr>
          <w:spacing w:val="1"/>
        </w:rPr>
        <w:t>废除《凡尔赛和约》</w:t>
      </w:r>
      <w:r>
        <w:rPr>
          <w:spacing w:val="4"/>
        </w:rPr>
        <w:t xml:space="preserve">                   </w:t>
      </w:r>
      <w:r>
        <w:rPr>
          <w:rFonts w:ascii="Times New Roman" w:hAnsi="Times New Roman" w:eastAsia="Times New Roman" w:cs="Times New Roman"/>
          <w:spacing w:val="1"/>
        </w:rPr>
        <w:t xml:space="preserve">D.   </w:t>
      </w:r>
      <w:r>
        <w:rPr>
          <w:spacing w:val="1"/>
        </w:rPr>
        <w:t>实行绥靖政策</w:t>
      </w:r>
    </w:p>
    <w:p w14:paraId="7B22C9B8">
      <w:pPr>
        <w:pStyle w:val="2"/>
        <w:spacing w:before="39" w:line="246" w:lineRule="auto"/>
        <w:ind w:left="433" w:right="236" w:hanging="430"/>
      </w:pPr>
      <w:r>
        <w:rPr>
          <w:b/>
          <w:bCs/>
          <w:spacing w:val="10"/>
        </w:rPr>
        <w:t>二</w:t>
      </w:r>
      <w:r>
        <w:rPr>
          <w:spacing w:val="-54"/>
        </w:rPr>
        <w:t xml:space="preserve"> </w:t>
      </w:r>
      <w:r>
        <w:rPr>
          <w:b/>
          <w:bCs/>
          <w:spacing w:val="10"/>
        </w:rPr>
        <w:t>、选择题Ⅱ(本大题共12小题，每小题3分，</w:t>
      </w:r>
      <w:r>
        <w:rPr>
          <w:b/>
          <w:bCs/>
          <w:spacing w:val="9"/>
        </w:rPr>
        <w:t>共36分。每小题列出的四个备选项中只有一</w:t>
      </w:r>
      <w:r>
        <w:t xml:space="preserve"> </w:t>
      </w:r>
      <w:r>
        <w:rPr>
          <w:b/>
          <w:bCs/>
        </w:rPr>
        <w:t>个是符合题目要求的，不选、多选、错选均不得分)</w:t>
      </w:r>
    </w:p>
    <w:p w14:paraId="22B99458">
      <w:pPr>
        <w:pStyle w:val="2"/>
        <w:spacing w:before="63" w:line="286" w:lineRule="auto"/>
        <w:ind w:left="170" w:right="254" w:hanging="170"/>
      </w:pPr>
      <w:r>
        <w:rPr>
          <w:spacing w:val="-2"/>
        </w:rPr>
        <w:t>7.唐德宗贞元年间，翰林学士陆贽直接起草诏敕，《陆宣公</w:t>
      </w:r>
      <w:r>
        <w:rPr>
          <w:spacing w:val="-3"/>
        </w:rPr>
        <w:t>翰苑集》收录其多篇未经中书门下议</w:t>
      </w:r>
      <w:r>
        <w:t xml:space="preserve"> </w:t>
      </w:r>
      <w:r>
        <w:rPr>
          <w:spacing w:val="-1"/>
        </w:rPr>
        <w:t>决诏敕。当时陆贽被称为“内相”。由此可见，德宗朝</w:t>
      </w:r>
    </w:p>
    <w:p w14:paraId="1B0C3662">
      <w:pPr>
        <w:pStyle w:val="2"/>
        <w:spacing w:line="219" w:lineRule="auto"/>
        <w:ind w:left="300"/>
      </w:pPr>
      <w:r>
        <w:rPr>
          <w:rFonts w:ascii="Times New Roman" w:hAnsi="Times New Roman" w:eastAsia="Times New Roman" w:cs="Times New Roman"/>
          <w:spacing w:val="2"/>
        </w:rPr>
        <w:t xml:space="preserve">A.   </w:t>
      </w:r>
      <w:r>
        <w:rPr>
          <w:spacing w:val="2"/>
        </w:rPr>
        <w:t>中枢决策发生异变                     B.</w:t>
      </w:r>
      <w:r>
        <w:rPr>
          <w:spacing w:val="28"/>
        </w:rPr>
        <w:t xml:space="preserve"> </w:t>
      </w:r>
      <w:r>
        <w:rPr>
          <w:spacing w:val="2"/>
        </w:rPr>
        <w:t>三省一体化趋势加强</w:t>
      </w:r>
    </w:p>
    <w:p w14:paraId="6E62BB52">
      <w:pPr>
        <w:pStyle w:val="2"/>
        <w:spacing w:before="59" w:line="219" w:lineRule="auto"/>
        <w:ind w:left="300"/>
      </w:pPr>
      <w:r>
        <w:rPr>
          <w:rFonts w:ascii="Times New Roman" w:hAnsi="Times New Roman" w:eastAsia="Times New Roman" w:cs="Times New Roman"/>
        </w:rPr>
        <w:t xml:space="preserve">C.   </w:t>
      </w:r>
      <w:r>
        <w:t>藩镇割据形势加剧</w:t>
      </w:r>
      <w:r>
        <w:rPr>
          <w:spacing w:val="2"/>
        </w:rPr>
        <w:t xml:space="preserve">                     </w:t>
      </w:r>
      <w:r>
        <w:rPr>
          <w:rFonts w:ascii="Times New Roman" w:hAnsi="Times New Roman" w:eastAsia="Times New Roman" w:cs="Times New Roman"/>
        </w:rPr>
        <w:t>D.</w:t>
      </w:r>
      <w:r>
        <w:rPr>
          <w:rFonts w:ascii="Times New Roman" w:hAnsi="Times New Roman" w:eastAsia="Times New Roman" w:cs="Times New Roman"/>
          <w:spacing w:val="17"/>
        </w:rPr>
        <w:t xml:space="preserve">   </w:t>
      </w:r>
      <w:r>
        <w:t>皇权与相权矛盾尖锐</w:t>
      </w:r>
    </w:p>
    <w:p w14:paraId="2524ABAB">
      <w:pPr>
        <w:pStyle w:val="2"/>
        <w:spacing w:before="42" w:line="284" w:lineRule="auto"/>
        <w:ind w:left="195" w:right="239" w:hanging="195"/>
      </w:pPr>
      <w:r>
        <w:rPr>
          <w:spacing w:val="-7"/>
        </w:rPr>
        <w:t>8.下图是依据明代官方典制史料《大明官制》编制的某一类政区分布示意图，数值颜色代表强度。</w:t>
      </w:r>
      <w:r>
        <w:rPr>
          <w:spacing w:val="12"/>
        </w:rPr>
        <w:t xml:space="preserve"> </w:t>
      </w:r>
      <w:r>
        <w:rPr>
          <w:spacing w:val="-1"/>
        </w:rPr>
        <w:t>《大明官制》对这类政区特征的描述最有可能是</w:t>
      </w:r>
    </w:p>
    <w:p w14:paraId="01CE8972">
      <w:pPr>
        <w:spacing w:line="245" w:lineRule="auto"/>
        <w:rPr>
          <w:rFonts w:ascii="Arial"/>
          <w:sz w:val="21"/>
        </w:rPr>
      </w:pPr>
      <w:r>
        <w:pict>
          <v:shape id="_x0000_s1029" o:spid="_x0000_s1029" o:spt="202" type="#_x0000_t202" style="position:absolute;left:0pt;margin-left:155.7pt;margin-top:5.85pt;height:13.95pt;width:6pt;z-index:251662336;mso-width-relative:page;mso-height-relative:page;" filled="f" stroked="f" coordsize="21600,21600">
            <v:path/>
            <v:fill on="f" focussize="0,0"/>
            <v:stroke on="f"/>
            <v:imagedata o:title=""/>
            <o:lock v:ext="edit" aspectratio="f"/>
            <v:textbox inset="0mm,0mm,0mm,0mm" style="layout-flow:vertical-ideographic;">
              <w:txbxContent>
                <w:p w14:paraId="6B778A22">
                  <w:pPr>
                    <w:pStyle w:val="2"/>
                    <w:spacing w:before="20" w:line="79" w:lineRule="exact"/>
                    <w:ind w:left="20"/>
                    <w:rPr>
                      <w:sz w:val="10"/>
                      <w:szCs w:val="10"/>
                    </w:rPr>
                  </w:pPr>
                  <w:r>
                    <w:rPr>
                      <w:spacing w:val="23"/>
                      <w:w w:val="126"/>
                      <w:position w:val="-2"/>
                      <w:sz w:val="10"/>
                      <w:szCs w:val="10"/>
                    </w:rPr>
                    <w:t>N</w:t>
                  </w:r>
                  <w:r>
                    <w:rPr>
                      <w:spacing w:val="15"/>
                      <w:w w:val="101"/>
                      <w:position w:val="-2"/>
                      <w:sz w:val="10"/>
                      <w:szCs w:val="10"/>
                    </w:rPr>
                    <w:t xml:space="preserve"> </w:t>
                  </w:r>
                  <w:r>
                    <w:rPr>
                      <w:spacing w:val="23"/>
                      <w:w w:val="126"/>
                      <w:position w:val="-2"/>
                      <w:sz w:val="10"/>
                      <w:szCs w:val="10"/>
                    </w:rPr>
                    <w:t>A</w:t>
                  </w:r>
                </w:p>
              </w:txbxContent>
            </v:textbox>
          </v:shape>
        </w:pict>
      </w:r>
    </w:p>
    <w:p w14:paraId="46B8BEE2">
      <w:pPr>
        <w:spacing w:line="245" w:lineRule="auto"/>
        <w:rPr>
          <w:rFonts w:ascii="Arial"/>
          <w:sz w:val="21"/>
        </w:rPr>
      </w:pPr>
    </w:p>
    <w:p w14:paraId="044AE1CB">
      <w:pPr>
        <w:spacing w:line="245" w:lineRule="auto"/>
        <w:rPr>
          <w:rFonts w:ascii="Arial"/>
          <w:sz w:val="21"/>
        </w:rPr>
      </w:pPr>
    </w:p>
    <w:p w14:paraId="46591F3F">
      <w:pPr>
        <w:spacing w:line="245" w:lineRule="auto"/>
        <w:rPr>
          <w:rFonts w:ascii="Arial"/>
          <w:sz w:val="21"/>
        </w:rPr>
      </w:pPr>
    </w:p>
    <w:p w14:paraId="404746E4">
      <w:pPr>
        <w:spacing w:line="245" w:lineRule="auto"/>
        <w:rPr>
          <w:rFonts w:ascii="Arial"/>
          <w:sz w:val="21"/>
        </w:rPr>
      </w:pPr>
    </w:p>
    <w:p w14:paraId="6E761DDF">
      <w:pPr>
        <w:spacing w:line="246" w:lineRule="auto"/>
        <w:rPr>
          <w:rFonts w:ascii="Arial"/>
          <w:sz w:val="21"/>
        </w:rPr>
      </w:pPr>
    </w:p>
    <w:p w14:paraId="4E6DA238">
      <w:pPr>
        <w:spacing w:before="30" w:line="222" w:lineRule="auto"/>
        <w:ind w:left="2879"/>
        <w:rPr>
          <w:rFonts w:ascii="黑体" w:hAnsi="黑体" w:eastAsia="黑体" w:cs="黑体"/>
          <w:sz w:val="9"/>
          <w:szCs w:val="9"/>
        </w:rPr>
      </w:pPr>
      <w:r>
        <w:drawing>
          <wp:anchor distT="0" distB="0" distL="0" distR="0" simplePos="0" relativeHeight="251661312" behindDoc="1" locked="0" layoutInCell="1" allowOverlap="1">
            <wp:simplePos x="0" y="0"/>
            <wp:positionH relativeFrom="column">
              <wp:posOffset>1790700</wp:posOffset>
            </wp:positionH>
            <wp:positionV relativeFrom="paragraph">
              <wp:posOffset>-954405</wp:posOffset>
            </wp:positionV>
            <wp:extent cx="2273300" cy="16065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2273287" cy="1606533"/>
                    </a:xfrm>
                    <a:prstGeom prst="rect">
                      <a:avLst/>
                    </a:prstGeom>
                  </pic:spPr>
                </pic:pic>
              </a:graphicData>
            </a:graphic>
          </wp:anchor>
        </w:drawing>
      </w:r>
      <w:r>
        <w:rPr>
          <w:rFonts w:ascii="黑体" w:hAnsi="黑体" w:eastAsia="黑体" w:cs="黑体"/>
          <w:spacing w:val="-3"/>
          <w:sz w:val="9"/>
          <w:szCs w:val="9"/>
        </w:rPr>
        <w:t>图例</w:t>
      </w:r>
    </w:p>
    <w:p w14:paraId="784AB4D1">
      <w:pPr>
        <w:spacing w:before="5" w:line="188" w:lineRule="auto"/>
        <w:ind w:left="3069"/>
        <w:rPr>
          <w:rFonts w:ascii="Times New Roman" w:hAnsi="Times New Roman" w:eastAsia="Times New Roman" w:cs="Times New Roman"/>
          <w:sz w:val="9"/>
          <w:szCs w:val="9"/>
        </w:rPr>
      </w:pPr>
      <w:r>
        <w:rPr>
          <w:rFonts w:ascii="Times New Roman" w:hAnsi="Times New Roman" w:eastAsia="Times New Roman" w:cs="Times New Roman"/>
          <w:spacing w:val="-1"/>
          <w:sz w:val="9"/>
          <w:szCs w:val="9"/>
        </w:rPr>
        <w:t>037-1.95</w:t>
      </w:r>
    </w:p>
    <w:p w14:paraId="15CFAB74">
      <w:pPr>
        <w:spacing w:before="79" w:line="188" w:lineRule="auto"/>
        <w:ind w:left="2990"/>
        <w:rPr>
          <w:rFonts w:ascii="Times New Roman" w:hAnsi="Times New Roman" w:eastAsia="Times New Roman" w:cs="Times New Roman"/>
          <w:sz w:val="9"/>
          <w:szCs w:val="9"/>
        </w:rPr>
      </w:pPr>
      <w:r>
        <w:rPr>
          <w:rFonts w:ascii="Times New Roman" w:hAnsi="Times New Roman" w:eastAsia="Times New Roman" w:cs="Times New Roman"/>
          <w:spacing w:val="-1"/>
          <w:sz w:val="9"/>
          <w:szCs w:val="9"/>
        </w:rPr>
        <w:t>□1.55-395</w:t>
      </w:r>
    </w:p>
    <w:p w14:paraId="546D803D">
      <w:pPr>
        <w:spacing w:before="9" w:line="188" w:lineRule="auto"/>
        <w:ind w:left="3050"/>
        <w:rPr>
          <w:rFonts w:ascii="Times New Roman" w:hAnsi="Times New Roman" w:eastAsia="Times New Roman" w:cs="Times New Roman"/>
          <w:sz w:val="9"/>
          <w:szCs w:val="9"/>
        </w:rPr>
      </w:pPr>
      <w:r>
        <w:rPr>
          <w:rFonts w:ascii="Times New Roman" w:hAnsi="Times New Roman" w:eastAsia="Times New Roman" w:cs="Times New Roman"/>
          <w:spacing w:val="-1"/>
          <w:sz w:val="9"/>
          <w:szCs w:val="9"/>
        </w:rPr>
        <w:t>3.95-7.89</w:t>
      </w:r>
    </w:p>
    <w:p w14:paraId="28722F63">
      <w:pPr>
        <w:spacing w:line="254" w:lineRule="auto"/>
        <w:rPr>
          <w:rFonts w:ascii="Arial"/>
          <w:sz w:val="21"/>
        </w:rPr>
      </w:pPr>
    </w:p>
    <w:p w14:paraId="2FD91A35">
      <w:pPr>
        <w:spacing w:line="255" w:lineRule="auto"/>
        <w:rPr>
          <w:rFonts w:ascii="Arial"/>
          <w:sz w:val="21"/>
        </w:rPr>
      </w:pPr>
    </w:p>
    <w:p w14:paraId="787A9E47">
      <w:pPr>
        <w:pStyle w:val="2"/>
        <w:spacing w:before="68" w:line="219" w:lineRule="auto"/>
        <w:ind w:left="4210"/>
      </w:pPr>
      <w:r>
        <w:rPr>
          <w:spacing w:val="-2"/>
        </w:rPr>
        <w:t>第8题图</w:t>
      </w:r>
    </w:p>
    <w:p w14:paraId="761EC738">
      <w:pPr>
        <w:pStyle w:val="2"/>
        <w:spacing w:before="11" w:line="227" w:lineRule="auto"/>
        <w:ind w:left="300"/>
      </w:pPr>
      <w:r>
        <w:rPr>
          <w:rFonts w:ascii="Times New Roman" w:hAnsi="Times New Roman" w:eastAsia="Times New Roman" w:cs="Times New Roman"/>
          <w:spacing w:val="1"/>
        </w:rPr>
        <w:t>A.</w:t>
      </w:r>
      <w:r>
        <w:rPr>
          <w:rFonts w:ascii="Times New Roman" w:hAnsi="Times New Roman" w:eastAsia="Times New Roman" w:cs="Times New Roman"/>
          <w:spacing w:val="24"/>
        </w:rPr>
        <w:t xml:space="preserve">  </w:t>
      </w:r>
      <w:r>
        <w:rPr>
          <w:spacing w:val="1"/>
        </w:rPr>
        <w:t>事简讼稀</w:t>
      </w:r>
      <w:r>
        <w:rPr>
          <w:spacing w:val="10"/>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19"/>
          <w:w w:val="101"/>
        </w:rPr>
        <w:t xml:space="preserve">  </w:t>
      </w:r>
      <w:r>
        <w:rPr>
          <w:spacing w:val="1"/>
        </w:rPr>
        <w:t>水陆交驰</w:t>
      </w:r>
      <w:r>
        <w:rPr>
          <w:spacing w:val="7"/>
        </w:rPr>
        <w:t xml:space="preserve">        </w:t>
      </w:r>
      <w:r>
        <w:rPr>
          <w:rFonts w:ascii="Times New Roman" w:hAnsi="Times New Roman" w:eastAsia="Times New Roman" w:cs="Times New Roman"/>
          <w:spacing w:val="1"/>
          <w:position w:val="1"/>
        </w:rPr>
        <w:t xml:space="preserve">C.   </w:t>
      </w:r>
      <w:r>
        <w:rPr>
          <w:spacing w:val="1"/>
          <w:position w:val="1"/>
        </w:rPr>
        <w:t>盗贼出没</w:t>
      </w:r>
      <w:r>
        <w:rPr>
          <w:spacing w:val="8"/>
          <w:position w:val="1"/>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2"/>
          <w:w w:val="101"/>
        </w:rPr>
        <w:t xml:space="preserve">  </w:t>
      </w:r>
      <w:r>
        <w:rPr>
          <w:spacing w:val="1"/>
        </w:rPr>
        <w:t>役重赋繁</w:t>
      </w:r>
    </w:p>
    <w:p w14:paraId="068FDF21">
      <w:pPr>
        <w:pStyle w:val="2"/>
        <w:spacing w:before="67" w:line="218" w:lineRule="auto"/>
        <w:ind w:left="3"/>
        <w:outlineLvl w:val="4"/>
      </w:pPr>
      <w:r>
        <w:rPr>
          <w:b/>
          <w:bCs/>
          <w:spacing w:val="1"/>
        </w:rPr>
        <w:t>9.阅读下表：“1864年2月进出口澳门货物数量及价</w:t>
      </w:r>
      <w:r>
        <w:rPr>
          <w:b/>
          <w:bCs/>
        </w:rPr>
        <w:t>值统计表”。这可用于说明近代中国</w:t>
      </w:r>
    </w:p>
    <w:p w14:paraId="4657E060">
      <w:pPr>
        <w:pStyle w:val="2"/>
        <w:tabs>
          <w:tab w:val="left" w:pos="4598"/>
        </w:tabs>
        <w:spacing w:before="84" w:line="214" w:lineRule="auto"/>
        <w:ind w:left="879"/>
        <w:rPr>
          <w:sz w:val="15"/>
          <w:szCs w:val="15"/>
        </w:rPr>
      </w:pPr>
      <w:r>
        <w:rPr>
          <w:sz w:val="15"/>
          <w:szCs w:val="15"/>
          <w:u w:val="single" w:color="auto"/>
        </w:rPr>
        <w:tab/>
      </w:r>
      <w:r>
        <w:rPr>
          <w:spacing w:val="-1"/>
          <w:sz w:val="15"/>
          <w:szCs w:val="15"/>
          <w:u w:val="single" w:color="auto"/>
        </w:rPr>
        <w:t xml:space="preserve">第9题表                 </w:t>
      </w:r>
      <w:r>
        <w:rPr>
          <w:spacing w:val="-2"/>
          <w:sz w:val="15"/>
          <w:szCs w:val="15"/>
          <w:u w:val="single" w:color="auto"/>
        </w:rPr>
        <w:t xml:space="preserve">                 </w:t>
      </w:r>
    </w:p>
    <w:p w14:paraId="00F8FACA">
      <w:pPr>
        <w:pStyle w:val="2"/>
        <w:tabs>
          <w:tab w:val="left" w:pos="3410"/>
        </w:tabs>
        <w:spacing w:before="39" w:line="159" w:lineRule="auto"/>
        <w:ind w:left="2120"/>
        <w:rPr>
          <w:sz w:val="15"/>
          <w:szCs w:val="15"/>
        </w:rPr>
      </w:pPr>
      <w:r>
        <w:rPr>
          <w:sz w:val="15"/>
          <w:szCs w:val="15"/>
          <w:u w:val="single" w:color="auto"/>
        </w:rPr>
        <w:tab/>
      </w:r>
      <w:r>
        <w:rPr>
          <w:spacing w:val="-7"/>
          <w:sz w:val="15"/>
          <w:szCs w:val="15"/>
          <w:u w:val="single" w:color="auto"/>
        </w:rPr>
        <w:t>进口</w:t>
      </w:r>
      <w:r>
        <w:rPr>
          <w:spacing w:val="1"/>
          <w:sz w:val="15"/>
          <w:szCs w:val="15"/>
          <w:u w:val="single" w:color="auto"/>
        </w:rPr>
        <w:t xml:space="preserve">                              </w:t>
      </w:r>
      <w:r>
        <w:rPr>
          <w:sz w:val="15"/>
          <w:szCs w:val="15"/>
          <w:u w:val="single" w:color="auto"/>
        </w:rPr>
        <w:t xml:space="preserve">  </w:t>
      </w:r>
      <w:r>
        <w:rPr>
          <w:spacing w:val="-7"/>
          <w:sz w:val="15"/>
          <w:szCs w:val="15"/>
          <w:u w:val="single" w:color="auto"/>
        </w:rPr>
        <w:t>出 口</w:t>
      </w:r>
      <w:r>
        <w:rPr>
          <w:sz w:val="15"/>
          <w:szCs w:val="15"/>
          <w:u w:val="single" w:color="auto"/>
        </w:rPr>
        <w:t xml:space="preserve">                </w:t>
      </w:r>
    </w:p>
    <w:p w14:paraId="31D56F37">
      <w:pPr>
        <w:pStyle w:val="2"/>
        <w:spacing w:before="1" w:line="202" w:lineRule="auto"/>
        <w:ind w:left="1199"/>
        <w:rPr>
          <w:sz w:val="15"/>
          <w:szCs w:val="15"/>
        </w:rPr>
      </w:pPr>
      <w:r>
        <w:rPr>
          <w:spacing w:val="2"/>
          <w:position w:val="7"/>
          <w:sz w:val="15"/>
          <w:szCs w:val="15"/>
        </w:rPr>
        <w:t xml:space="preserve">货物种类           </w:t>
      </w:r>
      <w:r>
        <w:rPr>
          <w:spacing w:val="2"/>
          <w:position w:val="-2"/>
          <w:sz w:val="15"/>
          <w:szCs w:val="15"/>
        </w:rPr>
        <w:t>数量             价值(两)            数量           价值(两)</w:t>
      </w:r>
    </w:p>
    <w:p w14:paraId="5BDEF517">
      <w:pPr>
        <w:spacing w:line="23" w:lineRule="exact"/>
      </w:pPr>
    </w:p>
    <w:tbl>
      <w:tblPr>
        <w:tblStyle w:val="7"/>
        <w:tblW w:w="5847" w:type="dxa"/>
        <w:tblInd w:w="127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58"/>
        <w:gridCol w:w="1415"/>
        <w:gridCol w:w="1394"/>
        <w:gridCol w:w="1363"/>
        <w:gridCol w:w="817"/>
      </w:tblGrid>
      <w:tr w14:paraId="59BE89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3" w:hRule="atLeast"/>
        </w:trPr>
        <w:tc>
          <w:tcPr>
            <w:tcW w:w="858" w:type="dxa"/>
            <w:vAlign w:val="top"/>
          </w:tcPr>
          <w:p w14:paraId="6E34EA4F">
            <w:pPr>
              <w:pStyle w:val="8"/>
              <w:spacing w:line="212" w:lineRule="auto"/>
              <w:ind w:left="79"/>
            </w:pPr>
            <w:r>
              <w:rPr>
                <w:spacing w:val="-2"/>
              </w:rPr>
              <w:t>稻米</w:t>
            </w:r>
          </w:p>
        </w:tc>
        <w:tc>
          <w:tcPr>
            <w:tcW w:w="1415" w:type="dxa"/>
            <w:vAlign w:val="top"/>
          </w:tcPr>
          <w:p w14:paraId="487A0AB5">
            <w:pPr>
              <w:pStyle w:val="8"/>
              <w:spacing w:line="212" w:lineRule="auto"/>
              <w:ind w:left="402"/>
            </w:pPr>
            <w:r>
              <w:rPr>
                <w:spacing w:val="2"/>
              </w:rPr>
              <w:t>11477担</w:t>
            </w:r>
          </w:p>
        </w:tc>
        <w:tc>
          <w:tcPr>
            <w:tcW w:w="1394" w:type="dxa"/>
            <w:vAlign w:val="top"/>
          </w:tcPr>
          <w:p w14:paraId="0EF0E147">
            <w:pPr>
              <w:pStyle w:val="8"/>
              <w:spacing w:before="15" w:line="194" w:lineRule="auto"/>
              <w:ind w:left="506"/>
            </w:pPr>
            <w:r>
              <w:rPr>
                <w:spacing w:val="-2"/>
              </w:rPr>
              <w:t>31884</w:t>
            </w:r>
          </w:p>
        </w:tc>
        <w:tc>
          <w:tcPr>
            <w:tcW w:w="1363" w:type="dxa"/>
            <w:vAlign w:val="top"/>
          </w:tcPr>
          <w:p w14:paraId="25C84CE4">
            <w:pPr>
              <w:pStyle w:val="8"/>
              <w:spacing w:before="85" w:line="87" w:lineRule="exact"/>
              <w:ind w:left="543"/>
            </w:pPr>
            <w:r>
              <w:rPr>
                <w:spacing w:val="-1"/>
                <w:position w:val="-3"/>
              </w:rPr>
              <w:t>----</w:t>
            </w:r>
          </w:p>
        </w:tc>
        <w:tc>
          <w:tcPr>
            <w:tcW w:w="817" w:type="dxa"/>
            <w:vAlign w:val="top"/>
          </w:tcPr>
          <w:p w14:paraId="127D47F3">
            <w:pPr>
              <w:pStyle w:val="8"/>
              <w:spacing w:before="85" w:line="87" w:lineRule="exact"/>
              <w:ind w:left="490"/>
            </w:pPr>
            <w:r>
              <w:rPr>
                <w:spacing w:val="-1"/>
                <w:position w:val="-3"/>
              </w:rPr>
              <w:t>----</w:t>
            </w:r>
          </w:p>
        </w:tc>
      </w:tr>
      <w:tr w14:paraId="3E6EDE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5" w:hRule="atLeast"/>
        </w:trPr>
        <w:tc>
          <w:tcPr>
            <w:tcW w:w="858" w:type="dxa"/>
            <w:vAlign w:val="top"/>
          </w:tcPr>
          <w:p w14:paraId="0DAFCC1B">
            <w:pPr>
              <w:pStyle w:val="8"/>
              <w:spacing w:before="18" w:line="217" w:lineRule="auto"/>
              <w:ind w:left="79"/>
            </w:pPr>
            <w:r>
              <w:rPr>
                <w:spacing w:val="-3"/>
              </w:rPr>
              <w:t>鱼翅</w:t>
            </w:r>
          </w:p>
        </w:tc>
        <w:tc>
          <w:tcPr>
            <w:tcW w:w="1415" w:type="dxa"/>
            <w:vAlign w:val="top"/>
          </w:tcPr>
          <w:p w14:paraId="37700391">
            <w:pPr>
              <w:pStyle w:val="8"/>
              <w:spacing w:before="17" w:line="218" w:lineRule="auto"/>
              <w:ind w:left="552"/>
            </w:pPr>
            <w:r>
              <w:rPr>
                <w:spacing w:val="-2"/>
              </w:rPr>
              <w:t>2担</w:t>
            </w:r>
          </w:p>
        </w:tc>
        <w:tc>
          <w:tcPr>
            <w:tcW w:w="1394" w:type="dxa"/>
            <w:vAlign w:val="top"/>
          </w:tcPr>
          <w:p w14:paraId="1A47DD47">
            <w:pPr>
              <w:pStyle w:val="8"/>
              <w:spacing w:before="32" w:line="200" w:lineRule="auto"/>
              <w:ind w:left="627"/>
            </w:pPr>
            <w:r>
              <w:rPr>
                <w:spacing w:val="-3"/>
              </w:rPr>
              <w:t>50</w:t>
            </w:r>
          </w:p>
        </w:tc>
        <w:tc>
          <w:tcPr>
            <w:tcW w:w="1363" w:type="dxa"/>
            <w:vAlign w:val="top"/>
          </w:tcPr>
          <w:p w14:paraId="0D805587">
            <w:pPr>
              <w:pStyle w:val="8"/>
              <w:spacing w:before="102" w:line="93" w:lineRule="exact"/>
              <w:ind w:left="543"/>
            </w:pPr>
            <w:r>
              <w:rPr>
                <w:spacing w:val="-1"/>
                <w:position w:val="-3"/>
              </w:rPr>
              <w:t>----</w:t>
            </w:r>
          </w:p>
        </w:tc>
        <w:tc>
          <w:tcPr>
            <w:tcW w:w="817" w:type="dxa"/>
            <w:vAlign w:val="top"/>
          </w:tcPr>
          <w:p w14:paraId="6A385D1C">
            <w:pPr>
              <w:pStyle w:val="8"/>
              <w:spacing w:before="102" w:line="93" w:lineRule="exact"/>
              <w:ind w:left="490"/>
            </w:pPr>
            <w:r>
              <w:rPr>
                <w:spacing w:val="-1"/>
                <w:position w:val="-3"/>
              </w:rPr>
              <w:t>----</w:t>
            </w:r>
          </w:p>
        </w:tc>
      </w:tr>
      <w:tr w14:paraId="40BD20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0" w:hRule="atLeast"/>
        </w:trPr>
        <w:tc>
          <w:tcPr>
            <w:tcW w:w="858" w:type="dxa"/>
            <w:vAlign w:val="top"/>
          </w:tcPr>
          <w:p w14:paraId="277D2F4D">
            <w:pPr>
              <w:pStyle w:val="8"/>
              <w:spacing w:before="22" w:line="219" w:lineRule="auto"/>
              <w:ind w:left="79"/>
            </w:pPr>
            <w:r>
              <w:rPr>
                <w:spacing w:val="-2"/>
              </w:rPr>
              <w:t>棉花</w:t>
            </w:r>
          </w:p>
        </w:tc>
        <w:tc>
          <w:tcPr>
            <w:tcW w:w="1415" w:type="dxa"/>
            <w:vAlign w:val="top"/>
          </w:tcPr>
          <w:p w14:paraId="37A36374">
            <w:pPr>
              <w:pStyle w:val="8"/>
              <w:spacing w:before="27" w:line="212" w:lineRule="auto"/>
              <w:ind w:left="521"/>
            </w:pPr>
            <w:r>
              <w:rPr>
                <w:spacing w:val="-2"/>
              </w:rPr>
              <w:t>64包</w:t>
            </w:r>
          </w:p>
        </w:tc>
        <w:tc>
          <w:tcPr>
            <w:tcW w:w="1394" w:type="dxa"/>
            <w:vAlign w:val="top"/>
          </w:tcPr>
          <w:p w14:paraId="3C4C4BB1">
            <w:pPr>
              <w:pStyle w:val="8"/>
              <w:spacing w:before="37" w:line="200" w:lineRule="auto"/>
              <w:ind w:left="587"/>
            </w:pPr>
            <w:r>
              <w:rPr>
                <w:spacing w:val="-2"/>
              </w:rPr>
              <w:t>360</w:t>
            </w:r>
          </w:p>
        </w:tc>
        <w:tc>
          <w:tcPr>
            <w:tcW w:w="1363" w:type="dxa"/>
            <w:vAlign w:val="top"/>
          </w:tcPr>
          <w:p w14:paraId="5A82EA5F">
            <w:pPr>
              <w:pStyle w:val="8"/>
              <w:spacing w:before="107" w:line="93" w:lineRule="exact"/>
              <w:ind w:left="543"/>
            </w:pPr>
            <w:r>
              <w:rPr>
                <w:spacing w:val="-1"/>
                <w:position w:val="-3"/>
              </w:rPr>
              <w:t>----</w:t>
            </w:r>
          </w:p>
        </w:tc>
        <w:tc>
          <w:tcPr>
            <w:tcW w:w="817" w:type="dxa"/>
            <w:vAlign w:val="top"/>
          </w:tcPr>
          <w:p w14:paraId="2BCB64C8">
            <w:pPr>
              <w:pStyle w:val="8"/>
              <w:spacing w:before="107" w:line="93" w:lineRule="exact"/>
              <w:ind w:left="490"/>
            </w:pPr>
            <w:r>
              <w:rPr>
                <w:spacing w:val="-1"/>
                <w:position w:val="-3"/>
              </w:rPr>
              <w:t>----</w:t>
            </w:r>
          </w:p>
        </w:tc>
      </w:tr>
      <w:tr w14:paraId="04A24C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6" w:hRule="atLeast"/>
        </w:trPr>
        <w:tc>
          <w:tcPr>
            <w:tcW w:w="858" w:type="dxa"/>
            <w:vAlign w:val="top"/>
          </w:tcPr>
          <w:p w14:paraId="6B5DA3C5">
            <w:pPr>
              <w:pStyle w:val="8"/>
              <w:spacing w:before="24" w:line="211" w:lineRule="auto"/>
              <w:ind w:left="79"/>
            </w:pPr>
            <w:r>
              <w:rPr>
                <w:spacing w:val="-2"/>
              </w:rPr>
              <w:t>靛蓝</w:t>
            </w:r>
          </w:p>
        </w:tc>
        <w:tc>
          <w:tcPr>
            <w:tcW w:w="1415" w:type="dxa"/>
            <w:vAlign w:val="top"/>
          </w:tcPr>
          <w:p w14:paraId="3240F5A1">
            <w:pPr>
              <w:pStyle w:val="8"/>
              <w:spacing w:before="107" w:line="89" w:lineRule="exact"/>
              <w:ind w:left="521"/>
            </w:pPr>
            <w:r>
              <w:rPr>
                <w:spacing w:val="-1"/>
                <w:position w:val="-3"/>
              </w:rPr>
              <w:t>----</w:t>
            </w:r>
          </w:p>
        </w:tc>
        <w:tc>
          <w:tcPr>
            <w:tcW w:w="1394" w:type="dxa"/>
            <w:vAlign w:val="top"/>
          </w:tcPr>
          <w:p w14:paraId="28C88269">
            <w:pPr>
              <w:pStyle w:val="8"/>
              <w:spacing w:before="107" w:line="89" w:lineRule="exact"/>
              <w:ind w:left="546"/>
            </w:pPr>
            <w:r>
              <w:rPr>
                <w:spacing w:val="-1"/>
                <w:position w:val="-3"/>
              </w:rPr>
              <w:t>----</w:t>
            </w:r>
          </w:p>
        </w:tc>
        <w:tc>
          <w:tcPr>
            <w:tcW w:w="1363" w:type="dxa"/>
            <w:vAlign w:val="top"/>
          </w:tcPr>
          <w:p w14:paraId="13F8ACCE">
            <w:pPr>
              <w:pStyle w:val="8"/>
              <w:spacing w:before="22" w:line="214" w:lineRule="auto"/>
              <w:ind w:left="472"/>
            </w:pPr>
            <w:r>
              <w:rPr>
                <w:spacing w:val="-2"/>
              </w:rPr>
              <w:t>3250罐</w:t>
            </w:r>
          </w:p>
        </w:tc>
        <w:tc>
          <w:tcPr>
            <w:tcW w:w="817" w:type="dxa"/>
            <w:vAlign w:val="top"/>
          </w:tcPr>
          <w:p w14:paraId="264D8ECE">
            <w:pPr>
              <w:pStyle w:val="8"/>
              <w:spacing w:before="36" w:line="196" w:lineRule="auto"/>
              <w:jc w:val="right"/>
            </w:pPr>
            <w:r>
              <w:rPr>
                <w:spacing w:val="-2"/>
              </w:rPr>
              <w:t>59720</w:t>
            </w:r>
          </w:p>
        </w:tc>
      </w:tr>
      <w:tr w14:paraId="758483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9" w:hRule="atLeast"/>
        </w:trPr>
        <w:tc>
          <w:tcPr>
            <w:tcW w:w="858" w:type="dxa"/>
            <w:vAlign w:val="top"/>
          </w:tcPr>
          <w:p w14:paraId="591FDC75">
            <w:pPr>
              <w:pStyle w:val="8"/>
              <w:spacing w:before="25" w:line="201" w:lineRule="auto"/>
              <w:ind w:left="79"/>
            </w:pPr>
            <w:r>
              <w:rPr>
                <w:spacing w:val="-2"/>
              </w:rPr>
              <w:t>土豆</w:t>
            </w:r>
          </w:p>
        </w:tc>
        <w:tc>
          <w:tcPr>
            <w:tcW w:w="1415" w:type="dxa"/>
            <w:vAlign w:val="top"/>
          </w:tcPr>
          <w:p w14:paraId="1B9E6653">
            <w:pPr>
              <w:pStyle w:val="8"/>
              <w:spacing w:before="101" w:line="87" w:lineRule="exact"/>
              <w:ind w:left="521"/>
            </w:pPr>
            <w:r>
              <w:rPr>
                <w:spacing w:val="-1"/>
                <w:position w:val="-3"/>
              </w:rPr>
              <w:t>----</w:t>
            </w:r>
          </w:p>
        </w:tc>
        <w:tc>
          <w:tcPr>
            <w:tcW w:w="1394" w:type="dxa"/>
            <w:vAlign w:val="top"/>
          </w:tcPr>
          <w:p w14:paraId="5834BBF0">
            <w:pPr>
              <w:pStyle w:val="8"/>
              <w:spacing w:before="101" w:line="87" w:lineRule="exact"/>
              <w:ind w:left="546"/>
            </w:pPr>
            <w:r>
              <w:rPr>
                <w:spacing w:val="-1"/>
                <w:position w:val="-3"/>
              </w:rPr>
              <w:t>----</w:t>
            </w:r>
          </w:p>
        </w:tc>
        <w:tc>
          <w:tcPr>
            <w:tcW w:w="1363" w:type="dxa"/>
            <w:vAlign w:val="top"/>
          </w:tcPr>
          <w:p w14:paraId="08DC2E2D">
            <w:pPr>
              <w:pStyle w:val="8"/>
              <w:spacing w:before="18" w:line="210" w:lineRule="auto"/>
              <w:ind w:left="502"/>
            </w:pPr>
            <w:r>
              <w:rPr>
                <w:spacing w:val="-1"/>
              </w:rPr>
              <w:t>934筐</w:t>
            </w:r>
          </w:p>
        </w:tc>
        <w:tc>
          <w:tcPr>
            <w:tcW w:w="817" w:type="dxa"/>
            <w:vAlign w:val="top"/>
          </w:tcPr>
          <w:p w14:paraId="1D49DBDA">
            <w:pPr>
              <w:pStyle w:val="8"/>
              <w:spacing w:before="31" w:line="194" w:lineRule="auto"/>
              <w:ind w:left="520"/>
            </w:pPr>
            <w:r>
              <w:rPr>
                <w:spacing w:val="-2"/>
              </w:rPr>
              <w:t>812</w:t>
            </w:r>
          </w:p>
        </w:tc>
      </w:tr>
      <w:tr w14:paraId="310D95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0" w:hRule="atLeast"/>
        </w:trPr>
        <w:tc>
          <w:tcPr>
            <w:tcW w:w="858" w:type="dxa"/>
            <w:vAlign w:val="top"/>
          </w:tcPr>
          <w:p w14:paraId="39677ED5">
            <w:pPr>
              <w:pStyle w:val="8"/>
              <w:spacing w:before="18" w:line="211" w:lineRule="auto"/>
              <w:ind w:left="79"/>
            </w:pPr>
            <w:r>
              <w:rPr>
                <w:spacing w:val="-2"/>
              </w:rPr>
              <w:t>海参</w:t>
            </w:r>
          </w:p>
        </w:tc>
        <w:tc>
          <w:tcPr>
            <w:tcW w:w="1415" w:type="dxa"/>
            <w:vAlign w:val="top"/>
          </w:tcPr>
          <w:p w14:paraId="5C17B5E5">
            <w:pPr>
              <w:pStyle w:val="8"/>
              <w:spacing w:before="17" w:line="212" w:lineRule="auto"/>
              <w:ind w:left="521"/>
            </w:pPr>
            <w:r>
              <w:rPr>
                <w:spacing w:val="-2"/>
              </w:rPr>
              <w:t>50担</w:t>
            </w:r>
          </w:p>
        </w:tc>
        <w:tc>
          <w:tcPr>
            <w:tcW w:w="1394" w:type="dxa"/>
            <w:vAlign w:val="top"/>
          </w:tcPr>
          <w:p w14:paraId="172A4F41">
            <w:pPr>
              <w:pStyle w:val="8"/>
              <w:spacing w:before="32" w:line="194" w:lineRule="auto"/>
              <w:ind w:left="546"/>
            </w:pPr>
            <w:r>
              <w:rPr>
                <w:spacing w:val="-4"/>
              </w:rPr>
              <w:t>1000</w:t>
            </w:r>
          </w:p>
        </w:tc>
        <w:tc>
          <w:tcPr>
            <w:tcW w:w="1363" w:type="dxa"/>
            <w:vAlign w:val="top"/>
          </w:tcPr>
          <w:p w14:paraId="3ADB2AB6">
            <w:pPr>
              <w:spacing w:line="190" w:lineRule="exact"/>
              <w:rPr>
                <w:rFonts w:ascii="Arial"/>
                <w:sz w:val="16"/>
              </w:rPr>
            </w:pPr>
          </w:p>
        </w:tc>
        <w:tc>
          <w:tcPr>
            <w:tcW w:w="817" w:type="dxa"/>
            <w:vAlign w:val="top"/>
          </w:tcPr>
          <w:p w14:paraId="6903C2D1">
            <w:pPr>
              <w:pStyle w:val="8"/>
              <w:spacing w:before="102" w:line="88" w:lineRule="exact"/>
              <w:ind w:left="520"/>
            </w:pPr>
            <w:r>
              <w:rPr>
                <w:spacing w:val="-2"/>
                <w:position w:val="-3"/>
              </w:rPr>
              <w:t>---</w:t>
            </w:r>
          </w:p>
        </w:tc>
      </w:tr>
      <w:tr w14:paraId="5CF074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0" w:hRule="atLeast"/>
        </w:trPr>
        <w:tc>
          <w:tcPr>
            <w:tcW w:w="858" w:type="dxa"/>
            <w:vAlign w:val="top"/>
          </w:tcPr>
          <w:p w14:paraId="6E637C34">
            <w:pPr>
              <w:pStyle w:val="8"/>
              <w:spacing w:before="16" w:line="213" w:lineRule="auto"/>
              <w:ind w:left="79"/>
            </w:pPr>
            <w:r>
              <w:rPr>
                <w:spacing w:val="2"/>
              </w:rPr>
              <w:t>肉桂</w:t>
            </w:r>
          </w:p>
        </w:tc>
        <w:tc>
          <w:tcPr>
            <w:tcW w:w="1415" w:type="dxa"/>
            <w:vAlign w:val="top"/>
          </w:tcPr>
          <w:p w14:paraId="104093E8">
            <w:pPr>
              <w:spacing w:line="190" w:lineRule="exact"/>
              <w:rPr>
                <w:rFonts w:ascii="Arial"/>
                <w:sz w:val="16"/>
              </w:rPr>
            </w:pPr>
          </w:p>
        </w:tc>
        <w:tc>
          <w:tcPr>
            <w:tcW w:w="1394" w:type="dxa"/>
            <w:vAlign w:val="top"/>
          </w:tcPr>
          <w:p w14:paraId="4351E42F">
            <w:pPr>
              <w:spacing w:line="190" w:lineRule="exact"/>
              <w:rPr>
                <w:rFonts w:ascii="Arial"/>
                <w:sz w:val="16"/>
              </w:rPr>
            </w:pPr>
          </w:p>
        </w:tc>
        <w:tc>
          <w:tcPr>
            <w:tcW w:w="1363" w:type="dxa"/>
            <w:vAlign w:val="top"/>
          </w:tcPr>
          <w:p w14:paraId="37914B45">
            <w:pPr>
              <w:pStyle w:val="8"/>
              <w:spacing w:before="17" w:line="212" w:lineRule="auto"/>
              <w:ind w:left="472"/>
            </w:pPr>
            <w:r>
              <w:rPr>
                <w:spacing w:val="-2"/>
              </w:rPr>
              <w:t>3761箱</w:t>
            </w:r>
          </w:p>
        </w:tc>
        <w:tc>
          <w:tcPr>
            <w:tcW w:w="817" w:type="dxa"/>
            <w:vAlign w:val="top"/>
          </w:tcPr>
          <w:p w14:paraId="5E8BA32C">
            <w:pPr>
              <w:pStyle w:val="8"/>
              <w:spacing w:before="32" w:line="194" w:lineRule="auto"/>
              <w:jc w:val="right"/>
            </w:pPr>
            <w:r>
              <w:rPr>
                <w:spacing w:val="-2"/>
              </w:rPr>
              <w:t>60176</w:t>
            </w:r>
          </w:p>
        </w:tc>
      </w:tr>
      <w:tr w14:paraId="353FD2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0" w:hRule="atLeast"/>
        </w:trPr>
        <w:tc>
          <w:tcPr>
            <w:tcW w:w="858" w:type="dxa"/>
            <w:vAlign w:val="top"/>
          </w:tcPr>
          <w:p w14:paraId="239DA659">
            <w:pPr>
              <w:pStyle w:val="8"/>
              <w:spacing w:before="16" w:line="213" w:lineRule="auto"/>
              <w:ind w:left="79"/>
            </w:pPr>
            <w:r>
              <w:rPr>
                <w:spacing w:val="-2"/>
              </w:rPr>
              <w:t>茶叶</w:t>
            </w:r>
          </w:p>
        </w:tc>
        <w:tc>
          <w:tcPr>
            <w:tcW w:w="1415" w:type="dxa"/>
            <w:vAlign w:val="top"/>
          </w:tcPr>
          <w:p w14:paraId="20F3CCC6">
            <w:pPr>
              <w:pStyle w:val="8"/>
              <w:spacing w:before="17" w:line="212" w:lineRule="auto"/>
              <w:ind w:left="481"/>
            </w:pPr>
            <w:r>
              <w:t>184箱</w:t>
            </w:r>
          </w:p>
        </w:tc>
        <w:tc>
          <w:tcPr>
            <w:tcW w:w="1394" w:type="dxa"/>
            <w:vAlign w:val="top"/>
          </w:tcPr>
          <w:p w14:paraId="67324723">
            <w:pPr>
              <w:pStyle w:val="8"/>
              <w:spacing w:before="32" w:line="194" w:lineRule="auto"/>
              <w:ind w:left="587"/>
            </w:pPr>
            <w:r>
              <w:rPr>
                <w:spacing w:val="-2"/>
              </w:rPr>
              <w:t>552</w:t>
            </w:r>
          </w:p>
        </w:tc>
        <w:tc>
          <w:tcPr>
            <w:tcW w:w="1363" w:type="dxa"/>
            <w:vAlign w:val="top"/>
          </w:tcPr>
          <w:p w14:paraId="1815F6CE">
            <w:pPr>
              <w:pStyle w:val="8"/>
              <w:spacing w:before="17" w:line="212" w:lineRule="auto"/>
              <w:ind w:left="502"/>
            </w:pPr>
            <w:r>
              <w:rPr>
                <w:spacing w:val="3"/>
              </w:rPr>
              <w:t>527箱</w:t>
            </w:r>
          </w:p>
        </w:tc>
        <w:tc>
          <w:tcPr>
            <w:tcW w:w="817" w:type="dxa"/>
            <w:vAlign w:val="top"/>
          </w:tcPr>
          <w:p w14:paraId="59D5057B">
            <w:pPr>
              <w:pStyle w:val="8"/>
              <w:spacing w:before="32" w:line="194" w:lineRule="auto"/>
              <w:ind w:left="490"/>
            </w:pPr>
            <w:r>
              <w:rPr>
                <w:spacing w:val="-2"/>
              </w:rPr>
              <w:t>2635</w:t>
            </w:r>
          </w:p>
        </w:tc>
      </w:tr>
      <w:tr w14:paraId="6429CE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0" w:hRule="atLeast"/>
        </w:trPr>
        <w:tc>
          <w:tcPr>
            <w:tcW w:w="858" w:type="dxa"/>
            <w:vAlign w:val="top"/>
          </w:tcPr>
          <w:p w14:paraId="40069DD4">
            <w:pPr>
              <w:pStyle w:val="8"/>
              <w:spacing w:before="16" w:line="213" w:lineRule="auto"/>
            </w:pPr>
            <w:r>
              <w:rPr>
                <w:spacing w:val="-3"/>
              </w:rPr>
              <w:t>小豆蔻</w:t>
            </w:r>
          </w:p>
        </w:tc>
        <w:tc>
          <w:tcPr>
            <w:tcW w:w="1415" w:type="dxa"/>
            <w:vAlign w:val="top"/>
          </w:tcPr>
          <w:p w14:paraId="199F402A">
            <w:pPr>
              <w:pStyle w:val="8"/>
              <w:spacing w:before="22" w:line="206" w:lineRule="auto"/>
              <w:ind w:left="521"/>
            </w:pPr>
            <w:r>
              <w:rPr>
                <w:spacing w:val="-1"/>
              </w:rPr>
              <w:t>40包</w:t>
            </w:r>
          </w:p>
        </w:tc>
        <w:tc>
          <w:tcPr>
            <w:tcW w:w="1394" w:type="dxa"/>
            <w:vAlign w:val="top"/>
          </w:tcPr>
          <w:p w14:paraId="0F08B223">
            <w:pPr>
              <w:pStyle w:val="8"/>
              <w:spacing w:before="32" w:line="194" w:lineRule="auto"/>
              <w:ind w:left="546"/>
            </w:pPr>
            <w:r>
              <w:rPr>
                <w:spacing w:val="-2"/>
              </w:rPr>
              <w:t>2640</w:t>
            </w:r>
          </w:p>
        </w:tc>
        <w:tc>
          <w:tcPr>
            <w:tcW w:w="1363" w:type="dxa"/>
            <w:vAlign w:val="top"/>
          </w:tcPr>
          <w:p w14:paraId="0EB605FF">
            <w:pPr>
              <w:spacing w:line="190" w:lineRule="exact"/>
              <w:rPr>
                <w:rFonts w:ascii="Arial"/>
                <w:sz w:val="16"/>
              </w:rPr>
            </w:pPr>
          </w:p>
        </w:tc>
        <w:tc>
          <w:tcPr>
            <w:tcW w:w="817" w:type="dxa"/>
            <w:vAlign w:val="top"/>
          </w:tcPr>
          <w:p w14:paraId="3CAF26B8">
            <w:pPr>
              <w:spacing w:line="190" w:lineRule="exact"/>
              <w:rPr>
                <w:rFonts w:ascii="Arial"/>
                <w:sz w:val="16"/>
              </w:rPr>
            </w:pPr>
          </w:p>
        </w:tc>
      </w:tr>
      <w:tr w14:paraId="12C9E8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5" w:hRule="atLeast"/>
        </w:trPr>
        <w:tc>
          <w:tcPr>
            <w:tcW w:w="858" w:type="dxa"/>
            <w:vAlign w:val="top"/>
          </w:tcPr>
          <w:p w14:paraId="0D08E8A4">
            <w:pPr>
              <w:pStyle w:val="8"/>
              <w:spacing w:before="17" w:line="219" w:lineRule="auto"/>
            </w:pPr>
            <w:r>
              <w:rPr>
                <w:spacing w:val="2"/>
              </w:rPr>
              <w:t>肉桂花</w:t>
            </w:r>
          </w:p>
        </w:tc>
        <w:tc>
          <w:tcPr>
            <w:tcW w:w="1415" w:type="dxa"/>
            <w:vAlign w:val="top"/>
          </w:tcPr>
          <w:p w14:paraId="54815702">
            <w:pPr>
              <w:pStyle w:val="8"/>
              <w:spacing w:before="102" w:line="93" w:lineRule="exact"/>
              <w:ind w:left="592"/>
            </w:pPr>
            <w:r>
              <w:rPr>
                <w:spacing w:val="-2"/>
                <w:position w:val="-3"/>
              </w:rPr>
              <w:t>--</w:t>
            </w:r>
          </w:p>
        </w:tc>
        <w:tc>
          <w:tcPr>
            <w:tcW w:w="1394" w:type="dxa"/>
            <w:vAlign w:val="top"/>
          </w:tcPr>
          <w:p w14:paraId="3136F312">
            <w:pPr>
              <w:spacing w:line="195" w:lineRule="exact"/>
              <w:rPr>
                <w:rFonts w:ascii="Arial"/>
                <w:sz w:val="16"/>
              </w:rPr>
            </w:pPr>
          </w:p>
        </w:tc>
        <w:tc>
          <w:tcPr>
            <w:tcW w:w="1363" w:type="dxa"/>
            <w:vAlign w:val="top"/>
          </w:tcPr>
          <w:p w14:paraId="4FFA2F58">
            <w:pPr>
              <w:pStyle w:val="8"/>
              <w:spacing w:before="22" w:line="212" w:lineRule="auto"/>
              <w:ind w:left="543"/>
            </w:pPr>
            <w:r>
              <w:rPr>
                <w:spacing w:val="-2"/>
              </w:rPr>
              <w:t>30包</w:t>
            </w:r>
          </w:p>
        </w:tc>
        <w:tc>
          <w:tcPr>
            <w:tcW w:w="817" w:type="dxa"/>
            <w:vAlign w:val="top"/>
          </w:tcPr>
          <w:p w14:paraId="3E7F0B54">
            <w:pPr>
              <w:pStyle w:val="8"/>
              <w:spacing w:before="32" w:line="200" w:lineRule="auto"/>
              <w:ind w:left="520"/>
            </w:pPr>
            <w:r>
              <w:rPr>
                <w:spacing w:val="-2"/>
              </w:rPr>
              <w:t>840</w:t>
            </w:r>
          </w:p>
        </w:tc>
      </w:tr>
      <w:tr w14:paraId="4759D8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0" w:hRule="atLeast"/>
        </w:trPr>
        <w:tc>
          <w:tcPr>
            <w:tcW w:w="858" w:type="dxa"/>
            <w:vAlign w:val="top"/>
          </w:tcPr>
          <w:p w14:paraId="510AC010">
            <w:pPr>
              <w:pStyle w:val="8"/>
              <w:spacing w:before="22" w:line="218" w:lineRule="auto"/>
              <w:ind w:left="79"/>
            </w:pPr>
            <w:r>
              <w:rPr>
                <w:spacing w:val="-2"/>
              </w:rPr>
              <w:t>鸦片</w:t>
            </w:r>
          </w:p>
        </w:tc>
        <w:tc>
          <w:tcPr>
            <w:tcW w:w="1415" w:type="dxa"/>
            <w:vAlign w:val="top"/>
          </w:tcPr>
          <w:p w14:paraId="4D5A250F">
            <w:pPr>
              <w:pStyle w:val="8"/>
              <w:spacing w:before="22" w:line="218" w:lineRule="auto"/>
              <w:ind w:left="481"/>
            </w:pPr>
            <w:r>
              <w:rPr>
                <w:spacing w:val="-1"/>
              </w:rPr>
              <w:t>996担</w:t>
            </w:r>
          </w:p>
        </w:tc>
        <w:tc>
          <w:tcPr>
            <w:tcW w:w="1394" w:type="dxa"/>
            <w:vAlign w:val="top"/>
          </w:tcPr>
          <w:p w14:paraId="7E5CDC56">
            <w:pPr>
              <w:pStyle w:val="8"/>
              <w:spacing w:before="37" w:line="200" w:lineRule="auto"/>
              <w:ind w:left="477"/>
            </w:pPr>
            <w:r>
              <w:rPr>
                <w:spacing w:val="-1"/>
              </w:rPr>
              <w:t>453000</w:t>
            </w:r>
          </w:p>
        </w:tc>
        <w:tc>
          <w:tcPr>
            <w:tcW w:w="1363" w:type="dxa"/>
            <w:vAlign w:val="top"/>
          </w:tcPr>
          <w:p w14:paraId="4D17FF1F">
            <w:pPr>
              <w:pStyle w:val="8"/>
              <w:spacing w:before="22" w:line="218" w:lineRule="auto"/>
              <w:ind w:left="543"/>
            </w:pPr>
            <w:r>
              <w:rPr>
                <w:spacing w:val="2"/>
              </w:rPr>
              <w:t>15担</w:t>
            </w:r>
          </w:p>
        </w:tc>
        <w:tc>
          <w:tcPr>
            <w:tcW w:w="817" w:type="dxa"/>
            <w:vAlign w:val="top"/>
          </w:tcPr>
          <w:p w14:paraId="5B38C8B9">
            <w:pPr>
              <w:pStyle w:val="8"/>
              <w:spacing w:before="37" w:line="200" w:lineRule="auto"/>
              <w:ind w:left="490"/>
            </w:pPr>
            <w:r>
              <w:rPr>
                <w:spacing w:val="-2"/>
              </w:rPr>
              <w:t>7680</w:t>
            </w:r>
          </w:p>
        </w:tc>
      </w:tr>
      <w:tr w14:paraId="142C56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7" w:hRule="atLeast"/>
        </w:trPr>
        <w:tc>
          <w:tcPr>
            <w:tcW w:w="858" w:type="dxa"/>
            <w:vAlign w:val="top"/>
          </w:tcPr>
          <w:p w14:paraId="3381FDD5">
            <w:pPr>
              <w:pStyle w:val="8"/>
              <w:spacing w:before="23" w:line="189" w:lineRule="auto"/>
              <w:ind w:left="79"/>
            </w:pPr>
            <w:r>
              <w:rPr>
                <w:spacing w:val="-2"/>
              </w:rPr>
              <w:t>丝绸</w:t>
            </w:r>
          </w:p>
        </w:tc>
        <w:tc>
          <w:tcPr>
            <w:tcW w:w="1415" w:type="dxa"/>
            <w:vAlign w:val="top"/>
          </w:tcPr>
          <w:p w14:paraId="66060610">
            <w:pPr>
              <w:pStyle w:val="8"/>
              <w:spacing w:before="22" w:line="190" w:lineRule="auto"/>
              <w:ind w:left="521"/>
            </w:pPr>
            <w:r>
              <w:rPr>
                <w:spacing w:val="-2"/>
              </w:rPr>
              <w:t>22担</w:t>
            </w:r>
          </w:p>
        </w:tc>
        <w:tc>
          <w:tcPr>
            <w:tcW w:w="1394" w:type="dxa"/>
            <w:vAlign w:val="top"/>
          </w:tcPr>
          <w:p w14:paraId="6FCA804F">
            <w:pPr>
              <w:pStyle w:val="8"/>
              <w:spacing w:before="37" w:line="172" w:lineRule="auto"/>
              <w:ind w:left="506"/>
            </w:pPr>
            <w:r>
              <w:rPr>
                <w:spacing w:val="-3"/>
              </w:rPr>
              <w:t>11000</w:t>
            </w:r>
          </w:p>
        </w:tc>
        <w:tc>
          <w:tcPr>
            <w:tcW w:w="1363" w:type="dxa"/>
            <w:vAlign w:val="top"/>
          </w:tcPr>
          <w:p w14:paraId="541B6A3F">
            <w:pPr>
              <w:pStyle w:val="8"/>
              <w:spacing w:before="22" w:line="190" w:lineRule="auto"/>
              <w:ind w:left="543"/>
            </w:pPr>
            <w:r>
              <w:rPr>
                <w:spacing w:val="-2"/>
              </w:rPr>
              <w:t>25担</w:t>
            </w:r>
          </w:p>
        </w:tc>
        <w:tc>
          <w:tcPr>
            <w:tcW w:w="817" w:type="dxa"/>
            <w:vAlign w:val="top"/>
          </w:tcPr>
          <w:p w14:paraId="41ACCCC1">
            <w:pPr>
              <w:pStyle w:val="8"/>
              <w:spacing w:before="37" w:line="172" w:lineRule="auto"/>
              <w:ind w:right="5"/>
              <w:jc w:val="right"/>
            </w:pPr>
            <w:r>
              <w:rPr>
                <w:spacing w:val="-3"/>
              </w:rPr>
              <w:t>18125</w:t>
            </w:r>
          </w:p>
        </w:tc>
      </w:tr>
    </w:tbl>
    <w:p w14:paraId="32770561">
      <w:pPr>
        <w:pStyle w:val="2"/>
        <w:spacing w:before="197" w:line="219" w:lineRule="auto"/>
        <w:ind w:left="300"/>
      </w:pPr>
      <w:r>
        <w:rPr>
          <w:rFonts w:ascii="Times New Roman" w:hAnsi="Times New Roman" w:eastAsia="Times New Roman" w:cs="Times New Roman"/>
          <w:spacing w:val="2"/>
        </w:rPr>
        <w:t>A.</w:t>
      </w:r>
      <w:r>
        <w:rPr>
          <w:rFonts w:ascii="Times New Roman" w:hAnsi="Times New Roman" w:eastAsia="Times New Roman" w:cs="Times New Roman"/>
          <w:spacing w:val="23"/>
        </w:rPr>
        <w:t xml:space="preserve">  </w:t>
      </w:r>
      <w:r>
        <w:rPr>
          <w:spacing w:val="2"/>
        </w:rPr>
        <w:t>对外贸易殖民化的特征                 B.</w:t>
      </w:r>
      <w:r>
        <w:rPr>
          <w:spacing w:val="28"/>
        </w:rPr>
        <w:t xml:space="preserve"> </w:t>
      </w:r>
      <w:r>
        <w:rPr>
          <w:spacing w:val="2"/>
        </w:rPr>
        <w:t>通商口岸城市生活水平提升</w:t>
      </w:r>
    </w:p>
    <w:p w14:paraId="46C8A6EE">
      <w:pPr>
        <w:pStyle w:val="2"/>
        <w:spacing w:before="80" w:line="219" w:lineRule="auto"/>
        <w:ind w:left="300"/>
      </w:pPr>
      <w:r>
        <w:rPr>
          <w:rFonts w:ascii="Times New Roman" w:hAnsi="Times New Roman" w:eastAsia="Times New Roman" w:cs="Times New Roman"/>
          <w:spacing w:val="1"/>
        </w:rPr>
        <w:t xml:space="preserve">C.   </w:t>
      </w:r>
      <w:r>
        <w:rPr>
          <w:spacing w:val="1"/>
        </w:rPr>
        <w:t>民族工业有了一定的发展</w:t>
      </w:r>
      <w:r>
        <w:rPr>
          <w:spacing w:val="4"/>
        </w:rPr>
        <w:t xml:space="preserve">               </w:t>
      </w:r>
      <w:r>
        <w:rPr>
          <w:rFonts w:ascii="Times New Roman" w:hAnsi="Times New Roman" w:eastAsia="Times New Roman" w:cs="Times New Roman"/>
          <w:spacing w:val="1"/>
        </w:rPr>
        <w:t xml:space="preserve">D.   </w:t>
      </w:r>
      <w:r>
        <w:rPr>
          <w:spacing w:val="1"/>
        </w:rPr>
        <w:t>主动融入资本主义世界</w:t>
      </w:r>
      <w:r>
        <w:t>市场</w:t>
      </w:r>
    </w:p>
    <w:p w14:paraId="1AE9FCA9">
      <w:pPr>
        <w:pStyle w:val="2"/>
        <w:spacing w:before="51" w:line="219" w:lineRule="auto"/>
      </w:pPr>
      <w:r>
        <w:t>10.1840年3月，英国宪章派的《北极星报》撰文驳斥内政大臣约翰</w:t>
      </w:r>
      <w:r>
        <w:rPr>
          <w:spacing w:val="-21"/>
        </w:rPr>
        <w:t xml:space="preserve"> </w:t>
      </w:r>
      <w:r>
        <w:t>·罗素在议会发言，指出：</w:t>
      </w:r>
    </w:p>
    <w:p w14:paraId="54947CB7">
      <w:pPr>
        <w:pStyle w:val="2"/>
        <w:spacing w:before="51" w:line="266" w:lineRule="auto"/>
        <w:ind w:left="219" w:hanging="24"/>
      </w:pPr>
      <w:r>
        <w:rPr>
          <w:spacing w:val="-1"/>
        </w:rPr>
        <w:t>“罗素宣称要为英国商人所受财产损失取得赔偿，这就直接招认了鸦片问题是中英争端的起因，</w:t>
      </w:r>
      <w:r>
        <w:t xml:space="preserve"> 而这场战争无论就其意图或目的来看，完全是一场‘鸦片战争’</w:t>
      </w:r>
      <w:r>
        <w:rPr>
          <w:spacing w:val="-1"/>
        </w:rPr>
        <w:t>。”《北极星报》的撰文</w:t>
      </w:r>
    </w:p>
    <w:p w14:paraId="668186BD">
      <w:pPr>
        <w:pStyle w:val="2"/>
        <w:spacing w:before="15" w:line="227" w:lineRule="auto"/>
        <w:ind w:left="300"/>
      </w:pPr>
      <w:r>
        <w:rPr>
          <w:rFonts w:ascii="Times New Roman" w:hAnsi="Times New Roman" w:eastAsia="Times New Roman" w:cs="Times New Roman"/>
          <w:position w:val="-1"/>
        </w:rPr>
        <w:t>A.</w:t>
      </w:r>
      <w:r>
        <w:rPr>
          <w:rFonts w:ascii="Times New Roman" w:hAnsi="Times New Roman" w:eastAsia="Times New Roman" w:cs="Times New Roman"/>
          <w:spacing w:val="1"/>
          <w:position w:val="-1"/>
        </w:rPr>
        <w:t xml:space="preserve">   </w:t>
      </w:r>
      <w:r>
        <w:rPr>
          <w:position w:val="-1"/>
        </w:rPr>
        <w:t>深受马克思主义传播的影响</w:t>
      </w:r>
      <w:r>
        <w:rPr>
          <w:spacing w:val="5"/>
          <w:position w:val="-1"/>
        </w:rPr>
        <w:t xml:space="preserve">             </w:t>
      </w:r>
      <w:r>
        <w:rPr>
          <w:rFonts w:ascii="Times New Roman" w:hAnsi="Times New Roman" w:eastAsia="Times New Roman" w:cs="Times New Roman"/>
        </w:rPr>
        <w:t>B.</w:t>
      </w:r>
      <w:r>
        <w:rPr>
          <w:rFonts w:ascii="Times New Roman" w:hAnsi="Times New Roman" w:eastAsia="Times New Roman" w:cs="Times New Roman"/>
          <w:spacing w:val="27"/>
        </w:rPr>
        <w:t xml:space="preserve">  </w:t>
      </w:r>
      <w:r>
        <w:t>揭示了英国发动鸦片战争的根本意图</w:t>
      </w:r>
    </w:p>
    <w:p w14:paraId="38E4EDB7">
      <w:pPr>
        <w:pStyle w:val="2"/>
        <w:spacing w:before="61" w:line="218" w:lineRule="auto"/>
        <w:ind w:left="300"/>
      </w:pPr>
      <w:r>
        <w:rPr>
          <w:spacing w:val="5"/>
        </w:rPr>
        <w:t>C.</w:t>
      </w:r>
      <w:r>
        <w:rPr>
          <w:spacing w:val="42"/>
        </w:rPr>
        <w:t xml:space="preserve"> </w:t>
      </w:r>
      <w:r>
        <w:rPr>
          <w:spacing w:val="5"/>
        </w:rPr>
        <w:t>为英国资产阶级的利益辩解浙考神墙7</w:t>
      </w:r>
      <w:r>
        <w:rPr>
          <w:spacing w:val="4"/>
        </w:rPr>
        <w:t>50 D.</w:t>
      </w:r>
      <w:r>
        <w:rPr>
          <w:spacing w:val="59"/>
        </w:rPr>
        <w:t xml:space="preserve"> </w:t>
      </w:r>
      <w:r>
        <w:rPr>
          <w:spacing w:val="4"/>
        </w:rPr>
        <w:t>指明了中英鸦片战争爆发的直接原因</w:t>
      </w:r>
    </w:p>
    <w:p w14:paraId="000E3B0C">
      <w:pPr>
        <w:spacing w:line="218" w:lineRule="auto"/>
        <w:sectPr>
          <w:footerReference r:id="rId6" w:type="default"/>
          <w:pgSz w:w="10440" w:h="14740"/>
          <w:pgMar w:top="288" w:right="635" w:bottom="801" w:left="829" w:header="0" w:footer="552" w:gutter="0"/>
          <w:cols w:space="720" w:num="1"/>
        </w:sectPr>
      </w:pPr>
    </w:p>
    <w:p w14:paraId="6DB6860D">
      <w:pPr>
        <w:pStyle w:val="2"/>
        <w:spacing w:before="189" w:line="268" w:lineRule="auto"/>
        <w:ind w:left="190" w:right="129" w:hanging="190"/>
      </w:pPr>
      <w:r>
        <w:t xml:space="preserve">11.鲁迅的《狂人日记》以白话文小说形式，通过“狂人”的呓语，批判传统家族制度对人性的 </w:t>
      </w:r>
      <w:r>
        <w:rPr>
          <w:spacing w:val="1"/>
        </w:rPr>
        <w:t>压迫，发出了“救救孩子”的呼声。由此可知</w:t>
      </w:r>
      <w:r>
        <w:t>，文学革命意在</w:t>
      </w:r>
    </w:p>
    <w:p w14:paraId="36B0549D">
      <w:pPr>
        <w:pStyle w:val="2"/>
        <w:spacing w:line="218" w:lineRule="auto"/>
        <w:ind w:left="290"/>
      </w:pPr>
      <w:r>
        <w:rPr>
          <w:rFonts w:ascii="Times New Roman" w:hAnsi="Times New Roman" w:eastAsia="Times New Roman" w:cs="Times New Roman"/>
        </w:rPr>
        <w:t>A.</w:t>
      </w:r>
      <w:r>
        <w:rPr>
          <w:rFonts w:ascii="Times New Roman" w:hAnsi="Times New Roman" w:eastAsia="Times New Roman" w:cs="Times New Roman"/>
          <w:spacing w:val="1"/>
        </w:rPr>
        <w:t xml:space="preserve">   </w:t>
      </w:r>
      <w:r>
        <w:t>推动社会思想觉醒</w:t>
      </w:r>
      <w:r>
        <w:rPr>
          <w:spacing w:val="3"/>
        </w:rPr>
        <w:t xml:space="preserve">                     </w:t>
      </w:r>
      <w:r>
        <w:rPr>
          <w:rFonts w:ascii="Times New Roman" w:hAnsi="Times New Roman" w:eastAsia="Times New Roman" w:cs="Times New Roman"/>
        </w:rPr>
        <w:t>B.</w:t>
      </w:r>
      <w:r>
        <w:rPr>
          <w:rFonts w:ascii="Times New Roman" w:hAnsi="Times New Roman" w:eastAsia="Times New Roman" w:cs="Times New Roman"/>
          <w:spacing w:val="28"/>
          <w:w w:val="101"/>
        </w:rPr>
        <w:t xml:space="preserve">  </w:t>
      </w:r>
      <w:r>
        <w:t>揭露列强文化侵略</w:t>
      </w:r>
    </w:p>
    <w:p w14:paraId="3B8B6119">
      <w:pPr>
        <w:pStyle w:val="2"/>
        <w:spacing w:before="82" w:line="219" w:lineRule="auto"/>
        <w:ind w:left="290"/>
      </w:pPr>
      <w:r>
        <w:rPr>
          <w:spacing w:val="1"/>
        </w:rPr>
        <w:t>C.</w:t>
      </w:r>
      <w:r>
        <w:rPr>
          <w:spacing w:val="55"/>
        </w:rPr>
        <w:t xml:space="preserve"> </w:t>
      </w:r>
      <w:r>
        <w:rPr>
          <w:spacing w:val="1"/>
        </w:rPr>
        <w:t>唤醒民族革命意识                     D.</w:t>
      </w:r>
      <w:r>
        <w:rPr>
          <w:spacing w:val="50"/>
        </w:rPr>
        <w:t xml:space="preserve"> </w:t>
      </w:r>
      <w:r>
        <w:rPr>
          <w:spacing w:val="1"/>
        </w:rPr>
        <w:t>提高民众文学素养</w:t>
      </w:r>
    </w:p>
    <w:p w14:paraId="525D1FD1">
      <w:pPr>
        <w:pStyle w:val="2"/>
        <w:spacing w:before="30" w:line="279" w:lineRule="auto"/>
        <w:ind w:left="190" w:hanging="190"/>
      </w:pPr>
      <w:r>
        <w:rPr>
          <w:spacing w:val="3"/>
        </w:rPr>
        <w:t>12.1982年上海市总工会首倡读书活动，通过征名活动确定“振兴中华”主题，初期</w:t>
      </w:r>
      <w:r>
        <w:rPr>
          <w:spacing w:val="2"/>
        </w:rPr>
        <w:t>以“三史”</w:t>
      </w:r>
      <w:r>
        <w:t xml:space="preserve"> </w:t>
      </w:r>
      <w:r>
        <w:rPr>
          <w:spacing w:val="8"/>
        </w:rPr>
        <w:t>(中国近代史、社会发展史、中国革命史)学习为核心内容，首年吸引80万职工参与，1983</w:t>
      </w:r>
      <w:r>
        <w:rPr>
          <w:spacing w:val="4"/>
        </w:rPr>
        <w:t xml:space="preserve">  </w:t>
      </w:r>
      <w:r>
        <w:rPr>
          <w:spacing w:val="-1"/>
        </w:rPr>
        <w:t>年全国总工会将其推广。1990年统计全国参</w:t>
      </w:r>
      <w:r>
        <w:rPr>
          <w:spacing w:val="-2"/>
        </w:rPr>
        <w:t>与职工达1.2亿，出版《读书活动优秀征文选》120</w:t>
      </w:r>
      <w:r>
        <w:t xml:space="preserve">  </w:t>
      </w:r>
      <w:r>
        <w:rPr>
          <w:spacing w:val="5"/>
        </w:rPr>
        <w:t>种。这体现出</w:t>
      </w:r>
    </w:p>
    <w:p w14:paraId="624B4140">
      <w:pPr>
        <w:pStyle w:val="2"/>
        <w:spacing w:before="1" w:line="218" w:lineRule="auto"/>
        <w:ind w:left="290"/>
      </w:pPr>
      <w:r>
        <w:rPr>
          <w:spacing w:val="2"/>
        </w:rPr>
        <w:t>A.</w:t>
      </w:r>
      <w:r>
        <w:rPr>
          <w:spacing w:val="46"/>
        </w:rPr>
        <w:t xml:space="preserve"> </w:t>
      </w:r>
      <w:r>
        <w:rPr>
          <w:spacing w:val="2"/>
        </w:rPr>
        <w:t xml:space="preserve">优秀传统文化复兴的时代潮流           </w:t>
      </w:r>
      <w:r>
        <w:rPr>
          <w:rFonts w:ascii="Times New Roman" w:hAnsi="Times New Roman" w:eastAsia="Times New Roman" w:cs="Times New Roman"/>
          <w:spacing w:val="2"/>
        </w:rPr>
        <w:t>B.</w:t>
      </w:r>
      <w:r>
        <w:rPr>
          <w:rFonts w:ascii="Times New Roman" w:hAnsi="Times New Roman" w:eastAsia="Times New Roman" w:cs="Times New Roman"/>
          <w:spacing w:val="1"/>
        </w:rPr>
        <w:t xml:space="preserve">   </w:t>
      </w:r>
      <w:r>
        <w:rPr>
          <w:spacing w:val="1"/>
        </w:rPr>
        <w:t>社会主要矛盾发生深刻变化</w:t>
      </w:r>
    </w:p>
    <w:p w14:paraId="36AC8DE3">
      <w:pPr>
        <w:pStyle w:val="2"/>
        <w:spacing w:before="70" w:line="218" w:lineRule="auto"/>
        <w:ind w:left="290"/>
      </w:pPr>
      <w:r>
        <w:rPr>
          <w:rFonts w:ascii="Times New Roman" w:hAnsi="Times New Roman" w:eastAsia="Times New Roman" w:cs="Times New Roman"/>
          <w:spacing w:val="2"/>
        </w:rPr>
        <w:t>C.</w:t>
      </w:r>
      <w:r>
        <w:rPr>
          <w:rFonts w:ascii="Times New Roman" w:hAnsi="Times New Roman" w:eastAsia="Times New Roman" w:cs="Times New Roman"/>
          <w:spacing w:val="25"/>
        </w:rPr>
        <w:t xml:space="preserve">  </w:t>
      </w:r>
      <w:r>
        <w:rPr>
          <w:spacing w:val="2"/>
        </w:rPr>
        <w:t xml:space="preserve">社会主义文化建设路径的探索        </w:t>
      </w:r>
      <w:r>
        <w:rPr>
          <w:spacing w:val="1"/>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4"/>
        </w:rPr>
        <w:t xml:space="preserve">   </w:t>
      </w:r>
      <w:r>
        <w:rPr>
          <w:spacing w:val="1"/>
        </w:rPr>
        <w:t>社会主义核心价值观的传承</w:t>
      </w:r>
    </w:p>
    <w:p w14:paraId="6EA133DD">
      <w:pPr>
        <w:pStyle w:val="2"/>
        <w:spacing w:before="61" w:line="269" w:lineRule="auto"/>
        <w:ind w:left="190" w:right="116" w:hanging="190"/>
      </w:pPr>
      <w:r>
        <w:rPr>
          <w:spacing w:val="5"/>
        </w:rPr>
        <w:t>13.646年(大化二年),日本颁布班田法，但对各种田地性质的划分不是很明确，从班田之</w:t>
      </w:r>
      <w:r>
        <w:rPr>
          <w:spacing w:val="4"/>
        </w:rPr>
        <w:t>初开</w:t>
      </w:r>
      <w:r>
        <w:t xml:space="preserve"> 始，有势者就开始据山川林野等共有地为私有，还兼并水</w:t>
      </w:r>
      <w:r>
        <w:rPr>
          <w:spacing w:val="-1"/>
        </w:rPr>
        <w:t>田、陆地等。上述现象</w:t>
      </w:r>
    </w:p>
    <w:p w14:paraId="685F5225">
      <w:pPr>
        <w:pStyle w:val="2"/>
        <w:spacing w:before="1" w:line="218" w:lineRule="auto"/>
        <w:ind w:left="290"/>
      </w:pPr>
      <w:r>
        <w:rPr>
          <w:rFonts w:ascii="Times New Roman" w:hAnsi="Times New Roman" w:eastAsia="Times New Roman" w:cs="Times New Roman"/>
          <w:spacing w:val="1"/>
        </w:rPr>
        <w:t>A.</w:t>
      </w:r>
      <w:r>
        <w:rPr>
          <w:rFonts w:ascii="Times New Roman" w:hAnsi="Times New Roman" w:eastAsia="Times New Roman" w:cs="Times New Roman"/>
          <w:spacing w:val="3"/>
        </w:rPr>
        <w:t xml:space="preserve">   </w:t>
      </w:r>
      <w:r>
        <w:rPr>
          <w:spacing w:val="1"/>
        </w:rPr>
        <w:t>强化了日本天皇权威                   B.</w:t>
      </w:r>
      <w:r>
        <w:rPr>
          <w:spacing w:val="40"/>
        </w:rPr>
        <w:t xml:space="preserve"> </w:t>
      </w:r>
      <w:r>
        <w:rPr>
          <w:spacing w:val="1"/>
        </w:rPr>
        <w:t>推动庄园经济的形成</w:t>
      </w:r>
    </w:p>
    <w:p w14:paraId="10427BAE">
      <w:pPr>
        <w:pStyle w:val="2"/>
        <w:spacing w:before="81" w:line="219" w:lineRule="auto"/>
        <w:ind w:left="290"/>
      </w:pPr>
      <w:r>
        <w:rPr>
          <w:spacing w:val="2"/>
        </w:rPr>
        <w:t>C.</w:t>
      </w:r>
      <w:r>
        <w:rPr>
          <w:spacing w:val="41"/>
        </w:rPr>
        <w:t xml:space="preserve"> </w:t>
      </w:r>
      <w:r>
        <w:rPr>
          <w:spacing w:val="2"/>
        </w:rPr>
        <w:t xml:space="preserve">使幕府势力不断扩张           </w:t>
      </w:r>
      <w:r>
        <w:rPr>
          <w:spacing w:val="1"/>
        </w:rPr>
        <w:t xml:space="preserve">        D.</w:t>
      </w:r>
      <w:r>
        <w:rPr>
          <w:spacing w:val="59"/>
        </w:rPr>
        <w:t xml:space="preserve"> </w:t>
      </w:r>
      <w:r>
        <w:rPr>
          <w:spacing w:val="1"/>
        </w:rPr>
        <w:t>削弱了人身依附关系</w:t>
      </w:r>
    </w:p>
    <w:p w14:paraId="159F9FD7">
      <w:pPr>
        <w:pStyle w:val="2"/>
        <w:spacing w:before="61" w:line="274" w:lineRule="auto"/>
        <w:ind w:left="190" w:right="155" w:hanging="190"/>
      </w:pPr>
      <w:r>
        <w:t>14.1066年诺曼底公爵威廉征服英国后</w:t>
      </w:r>
      <w:r>
        <w:rPr>
          <w:spacing w:val="-1"/>
        </w:rPr>
        <w:t>，设立王室法院并派遣巡回法官至各地审理案件，逐步取</w:t>
      </w:r>
      <w:r>
        <w:t xml:space="preserve"> 代盎格鲁一撒克逊时期的习惯法。巡回法官依据国王敕令和本</w:t>
      </w:r>
      <w:r>
        <w:rPr>
          <w:spacing w:val="-1"/>
        </w:rPr>
        <w:t>地习惯作出判决。这</w:t>
      </w:r>
    </w:p>
    <w:p w14:paraId="4BCDCC4C">
      <w:pPr>
        <w:pStyle w:val="2"/>
        <w:spacing w:before="8" w:line="219" w:lineRule="auto"/>
        <w:ind w:left="290"/>
      </w:pPr>
      <w:r>
        <w:rPr>
          <w:rFonts w:ascii="Times New Roman" w:hAnsi="Times New Roman" w:eastAsia="Times New Roman" w:cs="Times New Roman"/>
          <w:spacing w:val="2"/>
        </w:rPr>
        <w:t xml:space="preserve">A.   </w:t>
      </w:r>
      <w:r>
        <w:rPr>
          <w:spacing w:val="2"/>
        </w:rPr>
        <w:t>导致司法权的分散化                   B</w:t>
      </w:r>
      <w:r>
        <w:rPr>
          <w:spacing w:val="1"/>
        </w:rPr>
        <w:t>.</w:t>
      </w:r>
      <w:r>
        <w:rPr>
          <w:spacing w:val="29"/>
        </w:rPr>
        <w:t xml:space="preserve"> </w:t>
      </w:r>
      <w:r>
        <w:rPr>
          <w:spacing w:val="1"/>
        </w:rPr>
        <w:t>推动了普通法的形成</w:t>
      </w:r>
    </w:p>
    <w:p w14:paraId="61C8EB6E">
      <w:pPr>
        <w:pStyle w:val="2"/>
        <w:spacing w:before="61" w:line="219" w:lineRule="auto"/>
        <w:ind w:left="290"/>
      </w:pPr>
      <w:r>
        <w:rPr>
          <w:rFonts w:ascii="Times New Roman" w:hAnsi="Times New Roman" w:eastAsia="Times New Roman" w:cs="Times New Roman"/>
          <w:spacing w:val="2"/>
        </w:rPr>
        <w:t>C.</w:t>
      </w:r>
      <w:r>
        <w:rPr>
          <w:rFonts w:ascii="Times New Roman" w:hAnsi="Times New Roman" w:eastAsia="Times New Roman" w:cs="Times New Roman"/>
          <w:spacing w:val="25"/>
        </w:rPr>
        <w:t xml:space="preserve">  </w:t>
      </w:r>
      <w:r>
        <w:rPr>
          <w:spacing w:val="2"/>
        </w:rPr>
        <w:t xml:space="preserve">完善了罗马民法体系                   </w:t>
      </w:r>
      <w:r>
        <w:rPr>
          <w:rFonts w:ascii="Times New Roman" w:hAnsi="Times New Roman" w:eastAsia="Times New Roman" w:cs="Times New Roman"/>
          <w:spacing w:val="2"/>
        </w:rPr>
        <w:t xml:space="preserve">D.   </w:t>
      </w:r>
      <w:r>
        <w:rPr>
          <w:spacing w:val="2"/>
        </w:rPr>
        <w:t>确立了法</w:t>
      </w:r>
      <w:r>
        <w:rPr>
          <w:spacing w:val="1"/>
        </w:rPr>
        <w:t>律至上原则</w:t>
      </w:r>
    </w:p>
    <w:p w14:paraId="30743438">
      <w:pPr>
        <w:pStyle w:val="2"/>
        <w:spacing w:before="58" w:line="274" w:lineRule="auto"/>
        <w:ind w:left="190" w:right="120" w:hanging="190"/>
      </w:pPr>
      <w:r>
        <w:t>15.菲律宾甲米地发现了16—17世纪的西班牙帆船造船工具与墨西哥银币，马尼拉帕里安市场出</w:t>
      </w:r>
      <w:r>
        <w:rPr>
          <w:spacing w:val="9"/>
        </w:rPr>
        <w:t xml:space="preserve"> </w:t>
      </w:r>
      <w:r>
        <w:t>土的明代瓷器碎片与墨西哥银币共存于同一地层。16—17 世纪的越南会安日本町遗址出土的 朱印船贸易文书显示，日本白银经此中转购买中国</w:t>
      </w:r>
      <w:r>
        <w:rPr>
          <w:spacing w:val="-1"/>
        </w:rPr>
        <w:t>生丝。上述史料佐证了</w:t>
      </w:r>
    </w:p>
    <w:p w14:paraId="6AFCD332">
      <w:pPr>
        <w:pStyle w:val="2"/>
        <w:spacing w:before="7" w:line="219" w:lineRule="auto"/>
        <w:ind w:left="290"/>
      </w:pPr>
      <w:r>
        <w:rPr>
          <w:rFonts w:ascii="Times New Roman" w:hAnsi="Times New Roman" w:eastAsia="Times New Roman" w:cs="Times New Roman"/>
        </w:rPr>
        <w:t xml:space="preserve">A.   </w:t>
      </w:r>
      <w:r>
        <w:t>世界市场初期的不均衡性</w:t>
      </w:r>
      <w:r>
        <w:rPr>
          <w:spacing w:val="5"/>
        </w:rPr>
        <w:t xml:space="preserve">               </w:t>
      </w:r>
      <w:r>
        <w:rPr>
          <w:rFonts w:ascii="Times New Roman" w:hAnsi="Times New Roman" w:eastAsia="Times New Roman" w:cs="Times New Roman"/>
        </w:rPr>
        <w:t xml:space="preserve">B.   </w:t>
      </w:r>
      <w:r>
        <w:t>中国被迫卷入了世界市场</w:t>
      </w:r>
    </w:p>
    <w:p w14:paraId="38014156">
      <w:pPr>
        <w:pStyle w:val="2"/>
        <w:spacing w:before="41" w:line="219" w:lineRule="auto"/>
        <w:ind w:left="290"/>
      </w:pPr>
      <w:r>
        <w:rPr>
          <w:rFonts w:ascii="Times New Roman" w:hAnsi="Times New Roman" w:eastAsia="Times New Roman" w:cs="Times New Roman"/>
        </w:rPr>
        <w:t xml:space="preserve">C.   </w:t>
      </w:r>
      <w:r>
        <w:t>早期全球贸易网逐步形成</w:t>
      </w:r>
      <w:r>
        <w:rPr>
          <w:spacing w:val="4"/>
        </w:rPr>
        <w:t xml:space="preserve">               </w:t>
      </w:r>
      <w:r>
        <w:rPr>
          <w:rFonts w:ascii="Times New Roman" w:hAnsi="Times New Roman" w:eastAsia="Times New Roman" w:cs="Times New Roman"/>
        </w:rPr>
        <w:t xml:space="preserve">D.   </w:t>
      </w:r>
      <w:r>
        <w:t>西班牙人在贸易中占优势</w:t>
      </w:r>
    </w:p>
    <w:p w14:paraId="0ED2DD44">
      <w:pPr>
        <w:pStyle w:val="2"/>
        <w:spacing w:before="81" w:line="268" w:lineRule="auto"/>
        <w:ind w:left="190" w:right="129" w:hanging="190"/>
      </w:pPr>
      <w:r>
        <w:t>16.20世纪30年代中期，苏联农村小手工业者等岗位消失了，出现了一批新岗位，主要是服务和 管理岗位，但有些岗位在现实农村生活中农民并不需要，如清洁工、保安等。这反映出苏联</w:t>
      </w:r>
    </w:p>
    <w:p w14:paraId="5B3F9B7E">
      <w:pPr>
        <w:pStyle w:val="2"/>
        <w:spacing w:line="218" w:lineRule="auto"/>
        <w:ind w:left="290"/>
      </w:pPr>
      <w:r>
        <w:rPr>
          <w:rFonts w:ascii="Times New Roman" w:hAnsi="Times New Roman" w:eastAsia="Times New Roman" w:cs="Times New Roman"/>
          <w:spacing w:val="2"/>
        </w:rPr>
        <w:t>A.</w:t>
      </w:r>
      <w:r>
        <w:rPr>
          <w:rFonts w:ascii="Times New Roman" w:hAnsi="Times New Roman" w:eastAsia="Times New Roman" w:cs="Times New Roman"/>
        </w:rPr>
        <w:t xml:space="preserve">   </w:t>
      </w:r>
      <w:r>
        <w:rPr>
          <w:spacing w:val="2"/>
        </w:rPr>
        <w:t>农业集体化忽视民生                   B.</w:t>
      </w:r>
      <w:r>
        <w:rPr>
          <w:spacing w:val="29"/>
        </w:rPr>
        <w:t xml:space="preserve"> </w:t>
      </w:r>
      <w:r>
        <w:rPr>
          <w:spacing w:val="2"/>
        </w:rPr>
        <w:t>计划经</w:t>
      </w:r>
      <w:r>
        <w:rPr>
          <w:spacing w:val="1"/>
        </w:rPr>
        <w:t>济体制的弊端暴露</w:t>
      </w:r>
    </w:p>
    <w:p w14:paraId="39FEC7E8">
      <w:pPr>
        <w:pStyle w:val="2"/>
        <w:spacing w:before="81" w:line="219" w:lineRule="auto"/>
        <w:ind w:left="290"/>
      </w:pPr>
      <w:r>
        <w:rPr>
          <w:rFonts w:ascii="Times New Roman" w:hAnsi="Times New Roman" w:eastAsia="Times New Roman" w:cs="Times New Roman"/>
          <w:spacing w:val="1"/>
        </w:rPr>
        <w:t xml:space="preserve">C.   </w:t>
      </w:r>
      <w:r>
        <w:rPr>
          <w:spacing w:val="1"/>
        </w:rPr>
        <w:t xml:space="preserve">新经济政策脱离现实                   </w:t>
      </w:r>
      <w:r>
        <w:rPr>
          <w:rFonts w:ascii="Times New Roman" w:hAnsi="Times New Roman" w:eastAsia="Times New Roman" w:cs="Times New Roman"/>
          <w:spacing w:val="1"/>
        </w:rPr>
        <w:t>D.</w:t>
      </w:r>
      <w:r>
        <w:rPr>
          <w:rFonts w:ascii="Times New Roman" w:hAnsi="Times New Roman" w:eastAsia="Times New Roman" w:cs="Times New Roman"/>
          <w:spacing w:val="9"/>
        </w:rPr>
        <w:t xml:space="preserve">   </w:t>
      </w:r>
      <w:r>
        <w:rPr>
          <w:spacing w:val="1"/>
        </w:rPr>
        <w:t>社会主义建设充斥空想性</w:t>
      </w:r>
    </w:p>
    <w:p w14:paraId="57546582">
      <w:pPr>
        <w:pStyle w:val="2"/>
        <w:spacing w:before="61" w:line="275" w:lineRule="auto"/>
        <w:ind w:left="190" w:right="128" w:hanging="190"/>
      </w:pPr>
      <w:r>
        <w:rPr>
          <w:spacing w:val="9"/>
        </w:rPr>
        <w:t>17.20世纪70年代以来，英国社会保障支出一直保持3%—4%的年增长率，其在70、80年</w:t>
      </w:r>
      <w:r>
        <w:rPr>
          <w:spacing w:val="8"/>
        </w:rPr>
        <w:t>代占</w:t>
      </w:r>
      <w:r>
        <w:t xml:space="preserve"> </w:t>
      </w:r>
      <w:r>
        <w:rPr>
          <w:spacing w:val="1"/>
        </w:rPr>
        <w:t>英国社会总支出的1/3 以上，占国内生产总</w:t>
      </w:r>
      <w:r>
        <w:t xml:space="preserve">值的比例也在不断增长，到1980年已达到11.8%。 </w:t>
      </w:r>
      <w:r>
        <w:rPr>
          <w:spacing w:val="-1"/>
        </w:rPr>
        <w:t>由此可推知，英国</w:t>
      </w:r>
    </w:p>
    <w:p w14:paraId="5E8EDF17">
      <w:pPr>
        <w:pStyle w:val="2"/>
        <w:spacing w:before="2" w:line="219" w:lineRule="auto"/>
        <w:ind w:left="290"/>
      </w:pPr>
      <w:r>
        <w:rPr>
          <w:rFonts w:ascii="Times New Roman" w:hAnsi="Times New Roman" w:eastAsia="Times New Roman" w:cs="Times New Roman"/>
          <w:spacing w:val="2"/>
        </w:rPr>
        <w:t xml:space="preserve">A.   </w:t>
      </w:r>
      <w:r>
        <w:rPr>
          <w:spacing w:val="2"/>
        </w:rPr>
        <w:t xml:space="preserve">政府财政赤字问题凸显         </w:t>
      </w:r>
      <w:r>
        <w:rPr>
          <w:spacing w:val="1"/>
        </w:rPr>
        <w:t xml:space="preserve">        </w:t>
      </w:r>
      <w:r>
        <w:rPr>
          <w:rFonts w:ascii="Times New Roman" w:hAnsi="Times New Roman" w:eastAsia="Times New Roman" w:cs="Times New Roman"/>
          <w:spacing w:val="1"/>
        </w:rPr>
        <w:t xml:space="preserve">B.   </w:t>
      </w:r>
      <w:r>
        <w:rPr>
          <w:spacing w:val="1"/>
        </w:rPr>
        <w:t>社会资源分配效率较高</w:t>
      </w:r>
    </w:p>
    <w:p w14:paraId="375C9A9A">
      <w:pPr>
        <w:pStyle w:val="2"/>
        <w:spacing w:before="60" w:line="219" w:lineRule="auto"/>
        <w:ind w:left="290"/>
      </w:pPr>
      <w:r>
        <w:rPr>
          <w:rFonts w:ascii="Times New Roman" w:hAnsi="Times New Roman" w:eastAsia="Times New Roman" w:cs="Times New Roman"/>
          <w:spacing w:val="1"/>
        </w:rPr>
        <w:t xml:space="preserve">C.   </w:t>
      </w:r>
      <w:r>
        <w:rPr>
          <w:spacing w:val="1"/>
        </w:rPr>
        <w:t>福利国家政策存在隐忧</w:t>
      </w:r>
      <w:r>
        <w:rPr>
          <w:spacing w:val="4"/>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4"/>
          <w:w w:val="101"/>
        </w:rPr>
        <w:t xml:space="preserve">  </w:t>
      </w:r>
      <w:r>
        <w:rPr>
          <w:spacing w:val="1"/>
        </w:rPr>
        <w:t>产业结构的矛</w:t>
      </w:r>
      <w:r>
        <w:t>盾较突出</w:t>
      </w:r>
    </w:p>
    <w:p w14:paraId="4B78A174">
      <w:pPr>
        <w:pStyle w:val="2"/>
        <w:spacing w:before="39" w:line="274" w:lineRule="auto"/>
        <w:ind w:left="190" w:right="130" w:hanging="190"/>
      </w:pPr>
      <w:r>
        <w:rPr>
          <w:spacing w:val="-4"/>
        </w:rPr>
        <w:t>18.《三国史记 ·高句丽本纪</w:t>
      </w:r>
      <w:r>
        <w:rPr>
          <w:spacing w:val="-24"/>
        </w:rPr>
        <w:t xml:space="preserve"> </w:t>
      </w:r>
      <w:r>
        <w:rPr>
          <w:spacing w:val="-4"/>
        </w:rPr>
        <w:t>·美川王》描述了高句丽国在西</w:t>
      </w:r>
      <w:r>
        <w:rPr>
          <w:spacing w:val="-5"/>
        </w:rPr>
        <w:t>晋八王之乱后相继吞并西晋东北及</w:t>
      </w:r>
      <w:r>
        <w:t xml:space="preserve"> </w:t>
      </w:r>
      <w:r>
        <w:rPr>
          <w:spacing w:val="-2"/>
        </w:rPr>
        <w:t>朝鲜半岛的“玄菟郡”“乐浪郡”和“带方郡”的过程，包括具体的</w:t>
      </w:r>
      <w:r>
        <w:rPr>
          <w:spacing w:val="-3"/>
        </w:rPr>
        <w:t>年份和事件。我国东北地</w:t>
      </w:r>
      <w:r>
        <w:t xml:space="preserve"> </w:t>
      </w:r>
      <w:r>
        <w:rPr>
          <w:spacing w:val="-2"/>
        </w:rPr>
        <w:t>区和朝鲜半岛的考古发现中，揭示了高句丽在这一时期向西扩张的趋势和其在辽河流域</w:t>
      </w:r>
      <w:r>
        <w:rPr>
          <w:spacing w:val="-3"/>
        </w:rPr>
        <w:t>活动的</w:t>
      </w:r>
      <w:r>
        <w:t xml:space="preserve"> </w:t>
      </w:r>
      <w:r>
        <w:rPr>
          <w:spacing w:val="-2"/>
        </w:rPr>
        <w:t>增强。如在辽宁地区发现了大量高句丽的遗迹，这些遗迹的时间跨度就包括了西晋八</w:t>
      </w:r>
      <w:r>
        <w:rPr>
          <w:spacing w:val="-3"/>
        </w:rPr>
        <w:t>王之乱后</w:t>
      </w:r>
      <w:r>
        <w:t xml:space="preserve"> 的时间段，但没有找到直接证据证明高句丽吞并这三个郡的遗址或文物。这主要反映出</w:t>
      </w:r>
    </w:p>
    <w:p w14:paraId="392A06E8">
      <w:pPr>
        <w:pStyle w:val="2"/>
        <w:spacing w:before="4" w:line="219" w:lineRule="auto"/>
        <w:ind w:left="290"/>
      </w:pPr>
      <w:r>
        <w:rPr>
          <w:rFonts w:ascii="Times New Roman" w:hAnsi="Times New Roman" w:eastAsia="Times New Roman" w:cs="Times New Roman"/>
        </w:rPr>
        <w:t xml:space="preserve">A.   </w:t>
      </w:r>
      <w:r>
        <w:t xml:space="preserve">史书记载的主观性与出土文物的客观性   </w:t>
      </w:r>
      <w:r>
        <w:rPr>
          <w:rFonts w:ascii="Times New Roman" w:hAnsi="Times New Roman" w:eastAsia="Times New Roman" w:cs="Times New Roman"/>
        </w:rPr>
        <w:t xml:space="preserve">B.    </w:t>
      </w:r>
      <w:r>
        <w:t>史书记载的连续性与出土文物的断裂性</w:t>
      </w:r>
    </w:p>
    <w:p w14:paraId="00840B75">
      <w:pPr>
        <w:pStyle w:val="2"/>
        <w:spacing w:before="61" w:line="219" w:lineRule="auto"/>
        <w:ind w:left="290"/>
      </w:pPr>
      <w:r>
        <w:rPr>
          <w:rFonts w:ascii="Times New Roman" w:hAnsi="Times New Roman" w:eastAsia="Times New Roman" w:cs="Times New Roman"/>
          <w:spacing w:val="2"/>
        </w:rPr>
        <w:t>C.</w:t>
      </w:r>
      <w:r>
        <w:rPr>
          <w:rFonts w:ascii="Times New Roman" w:hAnsi="Times New Roman" w:eastAsia="Times New Roman" w:cs="Times New Roman"/>
          <w:spacing w:val="24"/>
          <w:w w:val="101"/>
        </w:rPr>
        <w:t xml:space="preserve">  </w:t>
      </w:r>
      <w:r>
        <w:rPr>
          <w:spacing w:val="2"/>
        </w:rPr>
        <w:t xml:space="preserve">史书记载的选择性与出土文物的全面性   </w:t>
      </w:r>
      <w:r>
        <w:rPr>
          <w:rFonts w:ascii="Times New Roman" w:hAnsi="Times New Roman" w:eastAsia="Times New Roman" w:cs="Times New Roman"/>
          <w:spacing w:val="2"/>
        </w:rPr>
        <w:t>D.</w:t>
      </w:r>
      <w:r>
        <w:rPr>
          <w:rFonts w:ascii="Times New Roman" w:hAnsi="Times New Roman" w:eastAsia="Times New Roman" w:cs="Times New Roman"/>
          <w:spacing w:val="4"/>
        </w:rPr>
        <w:t xml:space="preserve">   </w:t>
      </w:r>
      <w:r>
        <w:rPr>
          <w:spacing w:val="2"/>
        </w:rPr>
        <w:t>史书记载的详细性与出土文物的局限性</w:t>
      </w:r>
    </w:p>
    <w:p w14:paraId="3DC99CD2">
      <w:pPr>
        <w:spacing w:line="219" w:lineRule="auto"/>
        <w:sectPr>
          <w:footerReference r:id="rId7" w:type="default"/>
          <w:pgSz w:w="10440" w:h="14740"/>
          <w:pgMar w:top="284" w:right="753" w:bottom="801" w:left="840" w:header="0" w:footer="552" w:gutter="0"/>
          <w:cols w:space="720" w:num="1"/>
        </w:sectPr>
      </w:pPr>
    </w:p>
    <w:p w14:paraId="362E328C">
      <w:pPr>
        <w:pStyle w:val="2"/>
        <w:spacing w:before="135" w:line="255" w:lineRule="auto"/>
        <w:ind w:left="433" w:right="217" w:hanging="430"/>
      </w:pPr>
      <w:r>
        <w:rPr>
          <w:b/>
          <w:bCs/>
          <w:spacing w:val="19"/>
        </w:rPr>
        <w:t>三、非选择题(本大题共4小题，其中第19题12分，第20题12分，第21题12分，第22题</w:t>
      </w:r>
      <w:r>
        <w:rPr>
          <w:spacing w:val="9"/>
        </w:rPr>
        <w:t xml:space="preserve"> </w:t>
      </w:r>
      <w:r>
        <w:rPr>
          <w:b/>
          <w:bCs/>
          <w:spacing w:val="19"/>
        </w:rPr>
        <w:t>16分，共52分)</w:t>
      </w:r>
    </w:p>
    <w:p w14:paraId="5C31D297">
      <w:pPr>
        <w:pStyle w:val="2"/>
        <w:spacing w:before="52" w:line="219" w:lineRule="auto"/>
      </w:pPr>
      <w:r>
        <w:rPr>
          <w:spacing w:val="4"/>
        </w:rPr>
        <w:t>19.农业是古代王朝的立国之本。阅读材料，回答问题。(12分)</w:t>
      </w:r>
    </w:p>
    <w:p w14:paraId="7EB45322">
      <w:pPr>
        <w:pStyle w:val="2"/>
        <w:spacing w:before="72" w:line="272" w:lineRule="auto"/>
        <w:ind w:right="214" w:firstLine="430"/>
        <w:jc w:val="both"/>
        <w:rPr>
          <w:rFonts w:ascii="楷体" w:hAnsi="楷体" w:eastAsia="楷体" w:cs="楷体"/>
        </w:rPr>
      </w:pPr>
      <w:r>
        <w:rPr>
          <w:spacing w:val="-2"/>
        </w:rPr>
        <w:t>材料一</w:t>
      </w:r>
      <w:r>
        <w:rPr>
          <w:rFonts w:ascii="楷体" w:hAnsi="楷体" w:eastAsia="楷体" w:cs="楷体"/>
          <w:spacing w:val="-2"/>
        </w:rPr>
        <w:t>：商鞅提出“大小戮力本业耕织，致粟帛多者，复其身；事</w:t>
      </w:r>
      <w:r>
        <w:rPr>
          <w:rFonts w:ascii="楷体" w:hAnsi="楷体" w:eastAsia="楷体" w:cs="楷体"/>
          <w:spacing w:val="-3"/>
        </w:rPr>
        <w:t>末利及怠而贫者，举以为</w:t>
      </w:r>
      <w:r>
        <w:rPr>
          <w:rFonts w:ascii="楷体" w:hAnsi="楷体" w:eastAsia="楷体" w:cs="楷体"/>
        </w:rPr>
        <w:t xml:space="preserve"> 奴”;又招徕各国农民到秦国从事耕种，给予“利其田宅，而复之三世”的优遇</w:t>
      </w:r>
      <w:r>
        <w:rPr>
          <w:rFonts w:ascii="楷体" w:hAnsi="楷体" w:eastAsia="楷体" w:cs="楷体"/>
          <w:spacing w:val="-1"/>
        </w:rPr>
        <w:t>；还认为“欲农</w:t>
      </w:r>
      <w:r>
        <w:rPr>
          <w:rFonts w:ascii="楷体" w:hAnsi="楷体" w:eastAsia="楷体" w:cs="楷体"/>
        </w:rPr>
        <w:t xml:space="preserve"> </w:t>
      </w:r>
      <w:r>
        <w:rPr>
          <w:rFonts w:ascii="楷体" w:hAnsi="楷体" w:eastAsia="楷体" w:cs="楷体"/>
          <w:spacing w:val="-1"/>
        </w:rPr>
        <w:t>富其国者，境内之食必贵，……食贵则田者利，田者利则事者众”;甚至制订了较轻的税率。汉</w:t>
      </w:r>
      <w:r>
        <w:rPr>
          <w:rFonts w:ascii="楷体" w:hAnsi="楷体" w:eastAsia="楷体" w:cs="楷体"/>
          <w:spacing w:val="14"/>
        </w:rPr>
        <w:t xml:space="preserve"> </w:t>
      </w:r>
      <w:r>
        <w:rPr>
          <w:rFonts w:ascii="楷体" w:hAnsi="楷体" w:eastAsia="楷体" w:cs="楷体"/>
        </w:rPr>
        <w:t>文帝“令民入粟边，六百石爵上造，稍增至四千石为五大夫</w:t>
      </w:r>
      <w:r>
        <w:rPr>
          <w:rFonts w:ascii="楷体" w:hAnsi="楷体" w:eastAsia="楷体" w:cs="楷体"/>
          <w:spacing w:val="-1"/>
        </w:rPr>
        <w:t>，……”,又“下诏赐民十二年租税</w:t>
      </w:r>
      <w:r>
        <w:rPr>
          <w:rFonts w:ascii="楷体" w:hAnsi="楷体" w:eastAsia="楷体" w:cs="楷体"/>
        </w:rPr>
        <w:t xml:space="preserve"> </w:t>
      </w:r>
      <w:r>
        <w:rPr>
          <w:rFonts w:ascii="楷体" w:hAnsi="楷体" w:eastAsia="楷体" w:cs="楷体"/>
          <w:spacing w:val="-2"/>
        </w:rPr>
        <w:t>之半，明年，遂除民田之租税”。武帝时通西南夷道，“悉巴蜀租赋不足以更之，乃</w:t>
      </w:r>
      <w:r>
        <w:rPr>
          <w:rFonts w:ascii="楷体" w:hAnsi="楷体" w:eastAsia="楷体" w:cs="楷体"/>
          <w:spacing w:val="-3"/>
        </w:rPr>
        <w:t>募豪民田南</w:t>
      </w:r>
      <w:r>
        <w:rPr>
          <w:rFonts w:ascii="楷体" w:hAnsi="楷体" w:eastAsia="楷体" w:cs="楷体"/>
        </w:rPr>
        <w:t xml:space="preserve"> </w:t>
      </w:r>
      <w:r>
        <w:rPr>
          <w:rFonts w:ascii="楷体" w:hAnsi="楷体" w:eastAsia="楷体" w:cs="楷体"/>
          <w:spacing w:val="-3"/>
        </w:rPr>
        <w:t>夷，入粟县官，而内受钱于都内”。</w:t>
      </w:r>
    </w:p>
    <w:p w14:paraId="5790C359">
      <w:pPr>
        <w:pStyle w:val="2"/>
        <w:spacing w:before="2" w:line="219" w:lineRule="auto"/>
        <w:ind w:left="5580"/>
      </w:pPr>
      <w:r>
        <w:t>——何红中《中国古代粟作研究》</w:t>
      </w:r>
    </w:p>
    <w:p w14:paraId="0CF76179">
      <w:pPr>
        <w:pStyle w:val="2"/>
        <w:spacing w:before="52" w:line="281" w:lineRule="auto"/>
        <w:ind w:right="140" w:firstLine="430"/>
        <w:rPr>
          <w:rFonts w:ascii="楷体" w:hAnsi="楷体" w:eastAsia="楷体" w:cs="楷体"/>
        </w:rPr>
      </w:pPr>
      <w:r>
        <w:rPr>
          <w:spacing w:val="-7"/>
        </w:rPr>
        <w:t>材料二</w:t>
      </w:r>
      <w:r>
        <w:rPr>
          <w:rFonts w:ascii="楷体" w:hAnsi="楷体" w:eastAsia="楷体" w:cs="楷体"/>
          <w:spacing w:val="-7"/>
        </w:rPr>
        <w:t>：《明会典》载，“凡民田五亩至十亩者，栽桑、麻、木棉各半亩</w:t>
      </w:r>
      <w:r>
        <w:rPr>
          <w:rFonts w:ascii="楷体" w:hAnsi="楷体" w:eastAsia="楷体" w:cs="楷体"/>
          <w:spacing w:val="-8"/>
        </w:rPr>
        <w:t>，十亩以上倍之”,</w:t>
      </w:r>
      <w:r>
        <w:rPr>
          <w:rFonts w:ascii="楷体" w:hAnsi="楷体" w:eastAsia="楷体" w:cs="楷体"/>
        </w:rPr>
        <w:t xml:space="preserve">  </w:t>
      </w:r>
      <w:r>
        <w:rPr>
          <w:rFonts w:ascii="楷体" w:hAnsi="楷体" w:eastAsia="楷体" w:cs="楷体"/>
          <w:spacing w:val="2"/>
        </w:rPr>
        <w:t>规定“有司今后考课，必书农桑学校之绩”。洪武年间推行“计丁授田”,北方“户率十五亩，</w:t>
      </w:r>
      <w:r>
        <w:rPr>
          <w:rFonts w:ascii="楷体" w:hAnsi="楷体" w:eastAsia="楷体" w:cs="楷体"/>
          <w:spacing w:val="15"/>
        </w:rPr>
        <w:t xml:space="preserve"> </w:t>
      </w:r>
      <w:r>
        <w:rPr>
          <w:rFonts w:ascii="楷体" w:hAnsi="楷体" w:eastAsia="楷体" w:cs="楷体"/>
          <w:spacing w:val="5"/>
        </w:rPr>
        <w:t>蔬地二亩”,颁布《耕织图》,“每岁亲行耕藉，以重农事”。朱元璋认为“足民</w:t>
      </w:r>
      <w:r>
        <w:rPr>
          <w:rFonts w:ascii="楷体" w:hAnsi="楷体" w:eastAsia="楷体" w:cs="楷体"/>
          <w:spacing w:val="4"/>
        </w:rPr>
        <w:t>非井田一处，</w:t>
      </w:r>
      <w:r>
        <w:rPr>
          <w:rFonts w:ascii="楷体" w:hAnsi="楷体" w:eastAsia="楷体" w:cs="楷体"/>
        </w:rPr>
        <w:t xml:space="preserve"> </w:t>
      </w:r>
      <w:r>
        <w:rPr>
          <w:rFonts w:ascii="楷体" w:hAnsi="楷体" w:eastAsia="楷体" w:cs="楷体"/>
          <w:spacing w:val="3"/>
        </w:rPr>
        <w:t>富国非农本一方”,允许商业在监管下发展。</w:t>
      </w:r>
    </w:p>
    <w:p w14:paraId="681E52E9">
      <w:pPr>
        <w:pStyle w:val="2"/>
        <w:spacing w:before="1" w:line="218" w:lineRule="auto"/>
        <w:ind w:left="3610"/>
      </w:pPr>
      <w:r>
        <w:rPr>
          <w:spacing w:val="4"/>
        </w:rPr>
        <w:t>——摘编自惠富平《人勤地利明清太湖地区农业史》等</w:t>
      </w:r>
    </w:p>
    <w:p w14:paraId="68A0B3FE">
      <w:pPr>
        <w:pStyle w:val="2"/>
        <w:spacing w:before="42" w:line="259" w:lineRule="auto"/>
        <w:ind w:left="540" w:right="225" w:hanging="430"/>
      </w:pPr>
      <w:r>
        <w:rPr>
          <w:spacing w:val="3"/>
        </w:rPr>
        <w:t>(1)根据材料一，概括商鞅变法的重农政策与汉代重农政策的共</w:t>
      </w:r>
      <w:r>
        <w:rPr>
          <w:spacing w:val="2"/>
        </w:rPr>
        <w:t>同点，并结合所学知识，分析</w:t>
      </w:r>
      <w:r>
        <w:t xml:space="preserve"> </w:t>
      </w:r>
      <w:r>
        <w:rPr>
          <w:spacing w:val="14"/>
        </w:rPr>
        <w:t>其所起到的共同作用。(7分)</w:t>
      </w:r>
    </w:p>
    <w:p w14:paraId="42C41EB9">
      <w:pPr>
        <w:pStyle w:val="2"/>
        <w:spacing w:before="60" w:line="219" w:lineRule="auto"/>
        <w:ind w:left="110"/>
      </w:pPr>
      <w:r>
        <w:rPr>
          <w:spacing w:val="7"/>
        </w:rPr>
        <w:t>(2)根据材料一、二，与商鞅变法相比，指出明初重农政策的特殊之处。(5分)</w:t>
      </w:r>
    </w:p>
    <w:p w14:paraId="13EF8D3B">
      <w:pPr>
        <w:spacing w:line="308" w:lineRule="auto"/>
        <w:rPr>
          <w:rFonts w:ascii="Arial"/>
          <w:sz w:val="21"/>
        </w:rPr>
      </w:pPr>
    </w:p>
    <w:p w14:paraId="6AA1B6F4">
      <w:pPr>
        <w:spacing w:line="309" w:lineRule="auto"/>
        <w:rPr>
          <w:rFonts w:ascii="Arial"/>
          <w:sz w:val="21"/>
        </w:rPr>
      </w:pPr>
    </w:p>
    <w:p w14:paraId="10C0FFF4">
      <w:pPr>
        <w:spacing w:line="309" w:lineRule="auto"/>
        <w:rPr>
          <w:rFonts w:ascii="Arial"/>
          <w:sz w:val="21"/>
        </w:rPr>
      </w:pPr>
    </w:p>
    <w:p w14:paraId="21CED9C1">
      <w:pPr>
        <w:pStyle w:val="2"/>
        <w:spacing w:before="69" w:line="219" w:lineRule="auto"/>
      </w:pPr>
      <w:r>
        <w:rPr>
          <w:spacing w:val="5"/>
        </w:rPr>
        <w:t>20.经世致用是中华文人的实践品质。阅读材料，回答问题。(12分)</w:t>
      </w:r>
    </w:p>
    <w:p w14:paraId="24986477">
      <w:pPr>
        <w:pStyle w:val="2"/>
        <w:spacing w:before="25" w:line="274" w:lineRule="auto"/>
        <w:ind w:firstLine="430"/>
        <w:rPr>
          <w:rFonts w:ascii="楷体" w:hAnsi="楷体" w:eastAsia="楷体" w:cs="楷体"/>
        </w:rPr>
      </w:pPr>
      <w:r>
        <w:rPr>
          <w:spacing w:val="1"/>
        </w:rPr>
        <w:t>材料一</w:t>
      </w:r>
      <w:r>
        <w:rPr>
          <w:rFonts w:ascii="楷体" w:hAnsi="楷体" w:eastAsia="楷体" w:cs="楷体"/>
          <w:spacing w:val="1"/>
        </w:rPr>
        <w:t>： “吕氏兄弟四贤”中大忠、大钧</w:t>
      </w:r>
      <w:r>
        <w:rPr>
          <w:rFonts w:ascii="楷体" w:hAnsi="楷体" w:eastAsia="楷体" w:cs="楷体"/>
        </w:rPr>
        <w:t xml:space="preserve">、大临都曾师从理学家张载，故又有“蓝田三吕” </w:t>
      </w:r>
      <w:r>
        <w:rPr>
          <w:rFonts w:ascii="楷体" w:hAnsi="楷体" w:eastAsia="楷体" w:cs="楷体"/>
          <w:spacing w:val="-5"/>
        </w:rPr>
        <w:t>的称谓。据《宋史</w:t>
      </w:r>
      <w:r>
        <w:rPr>
          <w:rFonts w:ascii="楷体" w:hAnsi="楷体" w:eastAsia="楷体" w:cs="楷体"/>
          <w:spacing w:val="-19"/>
        </w:rPr>
        <w:t xml:space="preserve"> </w:t>
      </w:r>
      <w:r>
        <w:rPr>
          <w:rFonts w:ascii="楷体" w:hAnsi="楷体" w:eastAsia="楷体" w:cs="楷体"/>
          <w:spacing w:val="-5"/>
        </w:rPr>
        <w:t>·</w:t>
      </w:r>
      <w:r>
        <w:rPr>
          <w:rFonts w:ascii="楷体" w:hAnsi="楷体" w:eastAsia="楷体" w:cs="楷体"/>
          <w:spacing w:val="-65"/>
        </w:rPr>
        <w:t xml:space="preserve"> </w:t>
      </w:r>
      <w:r>
        <w:rPr>
          <w:rFonts w:ascii="楷体" w:hAnsi="楷体" w:eastAsia="楷体" w:cs="楷体"/>
          <w:spacing w:val="-5"/>
        </w:rPr>
        <w:t>吕大防传》载吕大钧与张载为同科进士，大钧十分佩服张载为人为学，以弟</w:t>
      </w:r>
      <w:r>
        <w:rPr>
          <w:rFonts w:ascii="楷体" w:hAnsi="楷体" w:eastAsia="楷体" w:cs="楷体"/>
        </w:rPr>
        <w:t xml:space="preserve">   </w:t>
      </w:r>
      <w:r>
        <w:rPr>
          <w:rFonts w:ascii="楷体" w:hAnsi="楷体" w:eastAsia="楷体" w:cs="楷体"/>
          <w:spacing w:val="-2"/>
        </w:rPr>
        <w:t>子身份师从张载，并能“守其师说而践履之。”其学“虽皆本于载，而能自信力行”。吕氏兄弟</w:t>
      </w:r>
      <w:r>
        <w:rPr>
          <w:rFonts w:ascii="楷体" w:hAnsi="楷体" w:eastAsia="楷体" w:cs="楷体"/>
        </w:rPr>
        <w:t xml:space="preserve">   </w:t>
      </w:r>
      <w:r>
        <w:rPr>
          <w:rFonts w:ascii="楷体" w:hAnsi="楷体" w:eastAsia="楷体" w:cs="楷体"/>
          <w:spacing w:val="-2"/>
        </w:rPr>
        <w:t>的基层治理实践塑造了关中“德业相劝”的集体伦理。</w:t>
      </w:r>
    </w:p>
    <w:p w14:paraId="1FA6B69B">
      <w:pPr>
        <w:pStyle w:val="2"/>
        <w:spacing w:before="39" w:line="219" w:lineRule="auto"/>
        <w:ind w:left="5589"/>
      </w:pPr>
      <w:r>
        <w:rPr>
          <w:spacing w:val="-7"/>
        </w:rPr>
        <w:t>——据《宋史</w:t>
      </w:r>
      <w:r>
        <w:rPr>
          <w:spacing w:val="-19"/>
        </w:rPr>
        <w:t xml:space="preserve"> </w:t>
      </w:r>
      <w:r>
        <w:rPr>
          <w:spacing w:val="-7"/>
        </w:rPr>
        <w:t>·</w:t>
      </w:r>
      <w:r>
        <w:rPr>
          <w:spacing w:val="-67"/>
        </w:rPr>
        <w:t xml:space="preserve"> </w:t>
      </w:r>
      <w:r>
        <w:rPr>
          <w:spacing w:val="-7"/>
        </w:rPr>
        <w:t>吕大防传》等整理</w:t>
      </w:r>
    </w:p>
    <w:p w14:paraId="419E09D1">
      <w:pPr>
        <w:pStyle w:val="2"/>
        <w:spacing w:before="32" w:line="272" w:lineRule="auto"/>
        <w:ind w:right="221" w:firstLine="430"/>
        <w:jc w:val="both"/>
        <w:rPr>
          <w:rFonts w:ascii="楷体" w:hAnsi="楷体" w:eastAsia="楷体" w:cs="楷体"/>
        </w:rPr>
      </w:pPr>
      <w:r>
        <w:rPr>
          <w:spacing w:val="-2"/>
        </w:rPr>
        <w:t>材料二</w:t>
      </w:r>
      <w:r>
        <w:rPr>
          <w:rFonts w:ascii="楷体" w:hAnsi="楷体" w:eastAsia="楷体" w:cs="楷体"/>
          <w:spacing w:val="-2"/>
        </w:rPr>
        <w:t>：晚清湖湘群体以唐鉴、曾国藩为核心，重</w:t>
      </w:r>
      <w:r>
        <w:rPr>
          <w:rFonts w:ascii="楷体" w:hAnsi="楷体" w:eastAsia="楷体" w:cs="楷体"/>
          <w:spacing w:val="-3"/>
        </w:rPr>
        <w:t>振程朱理学，如曾国藩融合朱熹理学与实</w:t>
      </w:r>
      <w:r>
        <w:rPr>
          <w:rFonts w:ascii="楷体" w:hAnsi="楷体" w:eastAsia="楷体" w:cs="楷体"/>
        </w:rPr>
        <w:t xml:space="preserve"> 学，主张“理学经世”。左宗棠创办福州船政局，践行“师夷长技以制夷”,将理学“外王”精 </w:t>
      </w:r>
      <w:r>
        <w:rPr>
          <w:rFonts w:ascii="楷体" w:hAnsi="楷体" w:eastAsia="楷体" w:cs="楷体"/>
          <w:spacing w:val="-2"/>
        </w:rPr>
        <w:t>神转化为技术自强。谭嗣同、唐才常创办时务学堂，将经世之学与</w:t>
      </w:r>
      <w:r>
        <w:rPr>
          <w:rFonts w:ascii="楷体" w:hAnsi="楷体" w:eastAsia="楷体" w:cs="楷体"/>
          <w:spacing w:val="-3"/>
        </w:rPr>
        <w:t>西方宪政结合。从王夫之“六</w:t>
      </w:r>
      <w:r>
        <w:rPr>
          <w:rFonts w:ascii="楷体" w:hAnsi="楷体" w:eastAsia="楷体" w:cs="楷体"/>
        </w:rPr>
        <w:t xml:space="preserve"> </w:t>
      </w:r>
      <w:r>
        <w:rPr>
          <w:rFonts w:ascii="楷体" w:hAnsi="楷体" w:eastAsia="楷体" w:cs="楷体"/>
          <w:spacing w:val="-2"/>
        </w:rPr>
        <w:t>经责我开生面”到曾国藩“卫道”抗争，湖湘理学形成</w:t>
      </w:r>
      <w:r>
        <w:rPr>
          <w:rFonts w:ascii="楷体" w:hAnsi="楷体" w:eastAsia="楷体" w:cs="楷体"/>
          <w:spacing w:val="-3"/>
        </w:rPr>
        <w:t>“经世致用”的区域文化基因。曾国藩铸</w:t>
      </w:r>
      <w:r>
        <w:rPr>
          <w:rFonts w:ascii="楷体" w:hAnsi="楷体" w:eastAsia="楷体" w:cs="楷体"/>
        </w:rPr>
        <w:t xml:space="preserve"> </w:t>
      </w:r>
      <w:r>
        <w:rPr>
          <w:rFonts w:ascii="楷体" w:hAnsi="楷体" w:eastAsia="楷体" w:cs="楷体"/>
          <w:spacing w:val="-1"/>
        </w:rPr>
        <w:t>造的湘军“血性”精神，升华为湖湘“敢为人先”的地域品格。</w:t>
      </w:r>
    </w:p>
    <w:p w14:paraId="7E7BFE16">
      <w:pPr>
        <w:pStyle w:val="2"/>
        <w:spacing w:before="23" w:line="219" w:lineRule="auto"/>
        <w:ind w:left="5370"/>
      </w:pPr>
      <w:r>
        <w:rPr>
          <w:spacing w:val="1"/>
        </w:rPr>
        <w:t>——整理自匡芳《湖湘文化通论》等</w:t>
      </w:r>
    </w:p>
    <w:p w14:paraId="7EAC4EA8">
      <w:pPr>
        <w:pStyle w:val="2"/>
        <w:spacing w:before="61" w:line="249" w:lineRule="auto"/>
        <w:ind w:left="540" w:right="245" w:hanging="430"/>
      </w:pPr>
      <w:r>
        <w:rPr>
          <w:spacing w:val="2"/>
        </w:rPr>
        <w:t>(1)根据材料一，概括吕氏兄弟学习张载理学的特点。结合所学知识，指出吕氏兄弟与基层治</w:t>
      </w:r>
      <w:r>
        <w:rPr>
          <w:spacing w:val="10"/>
        </w:rPr>
        <w:t xml:space="preserve"> </w:t>
      </w:r>
      <w:r>
        <w:rPr>
          <w:spacing w:val="12"/>
        </w:rPr>
        <w:t>理相关的重要成就及其价值。(5分)</w:t>
      </w:r>
    </w:p>
    <w:p w14:paraId="357D6FC4">
      <w:pPr>
        <w:pStyle w:val="2"/>
        <w:spacing w:before="72" w:line="242" w:lineRule="auto"/>
        <w:ind w:left="540" w:right="227" w:hanging="430"/>
      </w:pPr>
      <w:r>
        <w:rPr>
          <w:spacing w:val="3"/>
        </w:rPr>
        <w:t>(2)根据材料二并结合所学知识，概述近代湖湘理学家群体</w:t>
      </w:r>
      <w:r>
        <w:rPr>
          <w:spacing w:val="2"/>
        </w:rPr>
        <w:t>形成的历史背景。归纳吕氏兄弟与</w:t>
      </w:r>
      <w:r>
        <w:t xml:space="preserve"> </w:t>
      </w:r>
      <w:r>
        <w:rPr>
          <w:spacing w:val="10"/>
        </w:rPr>
        <w:t>近代湖湘理学家群体的相似贡献。(7分)</w:t>
      </w:r>
    </w:p>
    <w:p w14:paraId="2A8C7434">
      <w:pPr>
        <w:spacing w:line="242" w:lineRule="auto"/>
        <w:sectPr>
          <w:headerReference r:id="rId8" w:type="default"/>
          <w:footerReference r:id="rId9" w:type="default"/>
          <w:pgSz w:w="10440" w:h="14740"/>
          <w:pgMar w:top="758" w:right="664" w:bottom="801" w:left="819" w:header="266" w:footer="552" w:gutter="0"/>
          <w:cols w:space="720" w:num="1"/>
        </w:sectPr>
      </w:pPr>
    </w:p>
    <w:p w14:paraId="6B4BA459">
      <w:pPr>
        <w:pStyle w:val="2"/>
        <w:spacing w:before="158" w:line="219" w:lineRule="auto"/>
        <w:ind w:left="24"/>
      </w:pPr>
      <w:r>
        <w:rPr>
          <w:spacing w:val="4"/>
        </w:rPr>
        <w:t>21.立法权的内部结构配置可以调节不同政治势力</w:t>
      </w:r>
      <w:r>
        <w:rPr>
          <w:spacing w:val="3"/>
        </w:rPr>
        <w:t>的关系。阅读材料，回答问题。(12分)</w:t>
      </w:r>
    </w:p>
    <w:p w14:paraId="60C03123">
      <w:pPr>
        <w:pStyle w:val="2"/>
        <w:spacing w:before="53" w:line="272" w:lineRule="auto"/>
        <w:ind w:left="24" w:right="226" w:firstLine="440"/>
        <w:jc w:val="both"/>
        <w:rPr>
          <w:rFonts w:ascii="楷体" w:hAnsi="楷体" w:eastAsia="楷体" w:cs="楷体"/>
        </w:rPr>
      </w:pPr>
      <w:r>
        <w:rPr>
          <w:spacing w:val="-3"/>
        </w:rPr>
        <w:t>材料一</w:t>
      </w:r>
      <w:r>
        <w:rPr>
          <w:rFonts w:ascii="楷体" w:hAnsi="楷体" w:eastAsia="楷体" w:cs="楷体"/>
          <w:spacing w:val="-3"/>
        </w:rPr>
        <w:t>：罗马是一个重法制的社会，掌握了立法权也就是掌握了国家的根本大权。公民大会</w:t>
      </w:r>
      <w:r>
        <w:rPr>
          <w:rFonts w:ascii="楷体" w:hAnsi="楷体" w:eastAsia="楷体" w:cs="楷体"/>
          <w:spacing w:val="11"/>
        </w:rPr>
        <w:t xml:space="preserve"> </w:t>
      </w:r>
      <w:r>
        <w:rPr>
          <w:rFonts w:ascii="楷体" w:hAnsi="楷体" w:eastAsia="楷体" w:cs="楷体"/>
          <w:spacing w:val="-3"/>
        </w:rPr>
        <w:t>的法律审查通过权则是这根本权力运行过程中的最后一道关口。不仅如此，公民大会通过对各级</w:t>
      </w:r>
      <w:r>
        <w:rPr>
          <w:rFonts w:ascii="楷体" w:hAnsi="楷体" w:eastAsia="楷体" w:cs="楷体"/>
          <w:spacing w:val="3"/>
        </w:rPr>
        <w:t xml:space="preserve">  </w:t>
      </w:r>
      <w:r>
        <w:rPr>
          <w:rFonts w:ascii="楷体" w:hAnsi="楷体" w:eastAsia="楷体" w:cs="楷体"/>
        </w:rPr>
        <w:t>官吏的选举权的掌握还可以对官吏的执法施行间接约束。然</w:t>
      </w:r>
      <w:r>
        <w:rPr>
          <w:rFonts w:ascii="楷体" w:hAnsi="楷体" w:eastAsia="楷体" w:cs="楷体"/>
          <w:spacing w:val="-1"/>
        </w:rPr>
        <w:t>而，公民大会的立法权是不完整的，</w:t>
      </w:r>
      <w:r>
        <w:rPr>
          <w:rFonts w:ascii="楷体" w:hAnsi="楷体" w:eastAsia="楷体" w:cs="楷体"/>
        </w:rPr>
        <w:t xml:space="preserve"> </w:t>
      </w:r>
      <w:r>
        <w:rPr>
          <w:rFonts w:ascii="楷体" w:hAnsi="楷体" w:eastAsia="楷体" w:cs="楷体"/>
          <w:spacing w:val="-3"/>
        </w:rPr>
        <w:t>它并无法律创制权，这就是说，大会本身不能产生任何一个法案，它只能为召集该大会并在大会</w:t>
      </w:r>
      <w:r>
        <w:rPr>
          <w:rFonts w:ascii="楷体" w:hAnsi="楷体" w:eastAsia="楷体" w:cs="楷体"/>
          <w:spacing w:val="3"/>
        </w:rPr>
        <w:t xml:space="preserve">  </w:t>
      </w:r>
      <w:r>
        <w:rPr>
          <w:rFonts w:ascii="楷体" w:hAnsi="楷体" w:eastAsia="楷体" w:cs="楷体"/>
          <w:spacing w:val="-3"/>
        </w:rPr>
        <w:t>上担任主席的官员所提出的法案而投票，对提出的提案并不能改变或讨论：必须通过法案的全文</w:t>
      </w:r>
      <w:r>
        <w:rPr>
          <w:rFonts w:ascii="楷体" w:hAnsi="楷体" w:eastAsia="楷体" w:cs="楷体"/>
          <w:spacing w:val="7"/>
        </w:rPr>
        <w:t xml:space="preserve">  </w:t>
      </w:r>
      <w:r>
        <w:rPr>
          <w:rFonts w:ascii="楷体" w:hAnsi="楷体" w:eastAsia="楷体" w:cs="楷体"/>
        </w:rPr>
        <w:t>或是通盘加以否决。公元前339年以后，公民大会的法案，只要经过元老院预先同意即可。事实</w:t>
      </w:r>
      <w:r>
        <w:rPr>
          <w:rFonts w:ascii="楷体" w:hAnsi="楷体" w:eastAsia="楷体" w:cs="楷体"/>
          <w:spacing w:val="7"/>
        </w:rPr>
        <w:t xml:space="preserve"> </w:t>
      </w:r>
      <w:r>
        <w:rPr>
          <w:rFonts w:ascii="楷体" w:hAnsi="楷体" w:eastAsia="楷体" w:cs="楷体"/>
          <w:spacing w:val="-1"/>
        </w:rPr>
        <w:t>上，这项新程序使元老院的贵族更能控制行政官。</w:t>
      </w:r>
    </w:p>
    <w:p w14:paraId="3305E167">
      <w:pPr>
        <w:pStyle w:val="2"/>
        <w:spacing w:before="23" w:line="219" w:lineRule="auto"/>
        <w:ind w:left="4574"/>
      </w:pPr>
      <w:r>
        <w:rPr>
          <w:spacing w:val="-1"/>
        </w:rPr>
        <w:t>——杜晓春《古罗马共和时期的元老院探析》</w:t>
      </w:r>
    </w:p>
    <w:p w14:paraId="5EDCF077">
      <w:pPr>
        <w:pStyle w:val="2"/>
        <w:spacing w:before="72" w:line="266" w:lineRule="auto"/>
        <w:ind w:left="24" w:right="279" w:firstLine="440"/>
        <w:rPr>
          <w:rFonts w:ascii="楷体" w:hAnsi="楷体" w:eastAsia="楷体" w:cs="楷体"/>
        </w:rPr>
      </w:pPr>
      <w:r>
        <w:rPr>
          <w:spacing w:val="3"/>
        </w:rPr>
        <w:t>材料二：</w:t>
      </w:r>
      <w:r>
        <w:rPr>
          <w:rFonts w:ascii="楷体" w:hAnsi="楷体" w:eastAsia="楷体" w:cs="楷体"/>
          <w:spacing w:val="3"/>
        </w:rPr>
        <w:t>19世纪中期以来，英国内阁唯恐其政策不能迅速全面地付诸实施，遂依仗在议会</w:t>
      </w:r>
      <w:r>
        <w:rPr>
          <w:rFonts w:ascii="楷体" w:hAnsi="楷体" w:eastAsia="楷体" w:cs="楷体"/>
          <w:spacing w:val="1"/>
        </w:rPr>
        <w:t xml:space="preserve"> </w:t>
      </w:r>
      <w:r>
        <w:rPr>
          <w:rFonts w:ascii="楷体" w:hAnsi="楷体" w:eastAsia="楷体" w:cs="楷体"/>
          <w:spacing w:val="-4"/>
        </w:rPr>
        <w:t>占多数票，反复更改议会工作时间表，使议案和辩论尽量集中于“国家中心问题”,即内阁事</w:t>
      </w:r>
      <w:r>
        <w:rPr>
          <w:rFonts w:ascii="楷体" w:hAnsi="楷体" w:eastAsia="楷体" w:cs="楷体"/>
          <w:spacing w:val="-5"/>
        </w:rPr>
        <w:t>务。</w:t>
      </w:r>
      <w:r>
        <w:rPr>
          <w:rFonts w:ascii="楷体" w:hAnsi="楷体" w:eastAsia="楷体" w:cs="楷体"/>
        </w:rPr>
        <w:t xml:space="preserve"> 1882年，英国下院通过了《关于紧急情况的决议》</w:t>
      </w:r>
      <w:r>
        <w:rPr>
          <w:rFonts w:ascii="楷体" w:hAnsi="楷体" w:eastAsia="楷体" w:cs="楷体"/>
          <w:spacing w:val="-1"/>
        </w:rPr>
        <w:t>,规定首相可以“情况紧急”为由，要求议会</w:t>
      </w:r>
      <w:r>
        <w:rPr>
          <w:rFonts w:ascii="楷体" w:hAnsi="楷体" w:eastAsia="楷体" w:cs="楷体"/>
        </w:rPr>
        <w:t xml:space="preserve"> </w:t>
      </w:r>
      <w:r>
        <w:rPr>
          <w:rFonts w:ascii="楷体" w:hAnsi="楷体" w:eastAsia="楷体" w:cs="楷体"/>
          <w:spacing w:val="-2"/>
        </w:rPr>
        <w:t>对他提出的议案不经讨论立即付诸表决。</w:t>
      </w:r>
    </w:p>
    <w:p w14:paraId="25797B20">
      <w:pPr>
        <w:pStyle w:val="2"/>
        <w:spacing w:before="37" w:line="219" w:lineRule="auto"/>
        <w:ind w:left="4355"/>
      </w:pPr>
      <w:r>
        <w:t>——阎照祥《论近代晚期英国内阁权力的扩张》</w:t>
      </w:r>
    </w:p>
    <w:p w14:paraId="02BAC5E7">
      <w:pPr>
        <w:pStyle w:val="2"/>
        <w:spacing w:before="39" w:line="251" w:lineRule="auto"/>
        <w:ind w:left="564" w:right="252" w:hanging="430"/>
      </w:pPr>
      <w:r>
        <w:rPr>
          <w:spacing w:val="-1"/>
        </w:rPr>
        <w:t>(1)根据材料一并结合所学知识，用一句话指出罗马共和国公民大会的地位，简析其立</w:t>
      </w:r>
      <w:r>
        <w:rPr>
          <w:spacing w:val="-2"/>
        </w:rPr>
        <w:t>法权“不</w:t>
      </w:r>
      <w:r>
        <w:t xml:space="preserve"> </w:t>
      </w:r>
      <w:r>
        <w:rPr>
          <w:spacing w:val="14"/>
        </w:rPr>
        <w:t>完整性”的政治影响。(5分)</w:t>
      </w:r>
    </w:p>
    <w:p w14:paraId="1F4D63D0">
      <w:pPr>
        <w:pStyle w:val="2"/>
        <w:spacing w:before="90" w:line="242" w:lineRule="auto"/>
        <w:ind w:left="564" w:right="332" w:hanging="430"/>
      </w:pPr>
      <w:r>
        <w:rPr>
          <w:spacing w:val="2"/>
        </w:rPr>
        <w:t>(2)根据材料一、二，分别概括罗马共和国和19世纪英国在立法权运作过程中权力控制</w:t>
      </w:r>
      <w:r>
        <w:rPr>
          <w:spacing w:val="1"/>
        </w:rPr>
        <w:t>方式的</w:t>
      </w:r>
      <w:r>
        <w:t xml:space="preserve"> </w:t>
      </w:r>
      <w:r>
        <w:rPr>
          <w:spacing w:val="7"/>
        </w:rPr>
        <w:t>各自特点。结合所学知识，说明英国上述特点形成的原因。(7分)</w:t>
      </w:r>
    </w:p>
    <w:p w14:paraId="13DF2AB1">
      <w:pPr>
        <w:spacing w:line="308" w:lineRule="auto"/>
        <w:rPr>
          <w:rFonts w:ascii="Arial"/>
          <w:sz w:val="21"/>
        </w:rPr>
      </w:pPr>
    </w:p>
    <w:p w14:paraId="0B208398">
      <w:pPr>
        <w:spacing w:line="308" w:lineRule="auto"/>
        <w:rPr>
          <w:rFonts w:ascii="Arial"/>
          <w:sz w:val="21"/>
        </w:rPr>
      </w:pPr>
    </w:p>
    <w:p w14:paraId="0175B2A7">
      <w:pPr>
        <w:spacing w:line="309" w:lineRule="auto"/>
        <w:rPr>
          <w:rFonts w:ascii="Arial"/>
          <w:sz w:val="21"/>
        </w:rPr>
      </w:pPr>
    </w:p>
    <w:p w14:paraId="6DD059FA">
      <w:pPr>
        <w:pStyle w:val="2"/>
        <w:spacing w:before="68" w:line="219" w:lineRule="auto"/>
        <w:ind w:left="24"/>
      </w:pPr>
      <w:r>
        <w:rPr>
          <w:spacing w:val="2"/>
        </w:rPr>
        <w:t>22. “社会革命”创造新社会。阅读材料，完成下列要求。(16</w:t>
      </w:r>
      <w:r>
        <w:rPr>
          <w:spacing w:val="1"/>
        </w:rPr>
        <w:t>分)</w:t>
      </w:r>
    </w:p>
    <w:p w14:paraId="3FB9C4BB">
      <w:pPr>
        <w:spacing w:before="28" w:line="267" w:lineRule="auto"/>
        <w:ind w:left="24" w:right="270" w:firstLine="440"/>
        <w:rPr>
          <w:rFonts w:ascii="楷体" w:hAnsi="楷体" w:eastAsia="楷体" w:cs="楷体"/>
          <w:sz w:val="21"/>
          <w:szCs w:val="21"/>
        </w:rPr>
      </w:pPr>
      <w:r>
        <w:rPr>
          <w:rFonts w:ascii="楷体" w:hAnsi="楷体" w:eastAsia="楷体" w:cs="楷体"/>
          <w:spacing w:val="6"/>
          <w:sz w:val="21"/>
          <w:szCs w:val="21"/>
        </w:rPr>
        <w:t>材料：1859年马克思的《〈政治经济学批判&gt;序言》指出：“社</w:t>
      </w:r>
      <w:r>
        <w:rPr>
          <w:rFonts w:ascii="楷体" w:hAnsi="楷体" w:eastAsia="楷体" w:cs="楷体"/>
          <w:spacing w:val="5"/>
          <w:sz w:val="21"/>
          <w:szCs w:val="21"/>
        </w:rPr>
        <w:t>会的物质生产力发展到一</w:t>
      </w:r>
      <w:r>
        <w:rPr>
          <w:rFonts w:ascii="楷体" w:hAnsi="楷体" w:eastAsia="楷体" w:cs="楷体"/>
          <w:sz w:val="21"/>
          <w:szCs w:val="21"/>
        </w:rPr>
        <w:t xml:space="preserve"> </w:t>
      </w:r>
      <w:r>
        <w:rPr>
          <w:rFonts w:ascii="楷体" w:hAnsi="楷体" w:eastAsia="楷体" w:cs="楷体"/>
          <w:spacing w:val="2"/>
          <w:sz w:val="21"/>
          <w:szCs w:val="21"/>
        </w:rPr>
        <w:t>定阶段，便同它们一直在其中运动的现存生产关系或财产关系(这只是生产关系的法律用语)发</w:t>
      </w:r>
    </w:p>
    <w:p w14:paraId="20D4FAF9">
      <w:pPr>
        <w:spacing w:before="11" w:line="268" w:lineRule="auto"/>
        <w:ind w:left="24"/>
        <w:rPr>
          <w:rFonts w:ascii="楷体" w:hAnsi="楷体" w:eastAsia="楷体" w:cs="楷体"/>
          <w:sz w:val="21"/>
          <w:szCs w:val="21"/>
        </w:rPr>
      </w:pPr>
      <w:r>
        <w:rPr>
          <w:rFonts w:ascii="楷体" w:hAnsi="楷体" w:eastAsia="楷体" w:cs="楷体"/>
          <w:spacing w:val="-5"/>
          <w:sz w:val="21"/>
          <w:szCs w:val="21"/>
        </w:rPr>
        <w:t>生矛盾。于是这些关系便由生产力的发展形式变成生产力的桎梏。那时社会革命的时代就到来了。”</w:t>
      </w:r>
      <w:r>
        <w:rPr>
          <w:rFonts w:ascii="楷体" w:hAnsi="楷体" w:eastAsia="楷体" w:cs="楷体"/>
          <w:spacing w:val="10"/>
          <w:sz w:val="21"/>
          <w:szCs w:val="21"/>
        </w:rPr>
        <w:t xml:space="preserve"> </w:t>
      </w:r>
      <w:r>
        <w:rPr>
          <w:rFonts w:ascii="楷体" w:hAnsi="楷体" w:eastAsia="楷体" w:cs="楷体"/>
          <w:spacing w:val="2"/>
          <w:sz w:val="21"/>
          <w:szCs w:val="21"/>
        </w:rPr>
        <w:t>1905年10月，孙中山在《民报》发刊词中提出：“举政治革命、社会革命毕其功于一役。”孙</w:t>
      </w:r>
    </w:p>
    <w:p w14:paraId="5D6AC698">
      <w:pPr>
        <w:spacing w:before="8" w:line="271" w:lineRule="auto"/>
        <w:ind w:left="24" w:right="226"/>
        <w:rPr>
          <w:rFonts w:ascii="楷体" w:hAnsi="楷体" w:eastAsia="楷体" w:cs="楷体"/>
          <w:sz w:val="21"/>
          <w:szCs w:val="21"/>
        </w:rPr>
      </w:pPr>
      <w:r>
        <w:rPr>
          <w:rFonts w:ascii="楷体" w:hAnsi="楷体" w:eastAsia="楷体" w:cs="楷体"/>
          <w:sz w:val="21"/>
          <w:szCs w:val="21"/>
        </w:rPr>
        <w:t>中山等人将社会革命理解为民生主义，其目的在于促进民生</w:t>
      </w:r>
      <w:r>
        <w:rPr>
          <w:rFonts w:ascii="楷体" w:hAnsi="楷体" w:eastAsia="楷体" w:cs="楷体"/>
          <w:spacing w:val="-1"/>
          <w:sz w:val="21"/>
          <w:szCs w:val="21"/>
        </w:rPr>
        <w:t>以均贫富。在资产阶级革命派看来，</w:t>
      </w:r>
      <w:r>
        <w:rPr>
          <w:rFonts w:ascii="楷体" w:hAnsi="楷体" w:eastAsia="楷体" w:cs="楷体"/>
          <w:sz w:val="21"/>
          <w:szCs w:val="21"/>
        </w:rPr>
        <w:t xml:space="preserve"> 地主垄断土地，“为造成贫富不均及社会革命之一大根源”。1925 年，毛泽东在《答少年中国</w:t>
      </w:r>
      <w:r>
        <w:rPr>
          <w:rFonts w:ascii="楷体" w:hAnsi="楷体" w:eastAsia="楷体" w:cs="楷体"/>
          <w:spacing w:val="4"/>
          <w:sz w:val="21"/>
          <w:szCs w:val="21"/>
        </w:rPr>
        <w:t xml:space="preserve"> </w:t>
      </w:r>
      <w:r>
        <w:rPr>
          <w:rFonts w:ascii="楷体" w:hAnsi="楷体" w:eastAsia="楷体" w:cs="楷体"/>
          <w:sz w:val="21"/>
          <w:szCs w:val="21"/>
        </w:rPr>
        <w:t>学会改组委员会问》中，回答“对于目前内忧外患交迫的中</w:t>
      </w:r>
      <w:r>
        <w:rPr>
          <w:rFonts w:ascii="楷体" w:hAnsi="楷体" w:eastAsia="楷体" w:cs="楷体"/>
          <w:spacing w:val="-1"/>
          <w:sz w:val="21"/>
          <w:szCs w:val="21"/>
        </w:rPr>
        <w:t>国究抱何种主义”时，就明确表示：</w:t>
      </w:r>
    </w:p>
    <w:p w14:paraId="45A1DDEF">
      <w:pPr>
        <w:spacing w:before="5" w:line="271" w:lineRule="auto"/>
        <w:ind w:left="24" w:right="274" w:hanging="24"/>
        <w:jc w:val="both"/>
        <w:rPr>
          <w:rFonts w:ascii="楷体" w:hAnsi="楷体" w:eastAsia="楷体" w:cs="楷体"/>
          <w:sz w:val="21"/>
          <w:szCs w:val="21"/>
        </w:rPr>
      </w:pPr>
      <w:r>
        <w:rPr>
          <w:rFonts w:ascii="楷体" w:hAnsi="楷体" w:eastAsia="楷体" w:cs="楷体"/>
          <w:spacing w:val="4"/>
          <w:sz w:val="21"/>
          <w:szCs w:val="21"/>
        </w:rPr>
        <w:t>“本人信仰共产主义，主张无产阶级的社会革命”。1937年，他在《矛盾论》中写道：“共产</w:t>
      </w:r>
      <w:r>
        <w:rPr>
          <w:rFonts w:ascii="楷体" w:hAnsi="楷体" w:eastAsia="楷体" w:cs="楷体"/>
          <w:sz w:val="21"/>
          <w:szCs w:val="21"/>
        </w:rPr>
        <w:t xml:space="preserve"> </w:t>
      </w:r>
      <w:r>
        <w:rPr>
          <w:rFonts w:ascii="楷体" w:hAnsi="楷体" w:eastAsia="楷体" w:cs="楷体"/>
          <w:spacing w:val="-3"/>
          <w:sz w:val="21"/>
          <w:szCs w:val="21"/>
        </w:rPr>
        <w:t>党人必须揭露反动派所谓社会革命是不必要的和不可能的等等欺骗的宣传，坚持马克思列宁主义</w:t>
      </w:r>
      <w:r>
        <w:rPr>
          <w:rFonts w:ascii="楷体" w:hAnsi="楷体" w:eastAsia="楷体" w:cs="楷体"/>
          <w:spacing w:val="14"/>
          <w:sz w:val="21"/>
          <w:szCs w:val="21"/>
        </w:rPr>
        <w:t xml:space="preserve"> </w:t>
      </w:r>
      <w:r>
        <w:rPr>
          <w:rFonts w:ascii="楷体" w:hAnsi="楷体" w:eastAsia="楷体" w:cs="楷体"/>
          <w:spacing w:val="3"/>
          <w:sz w:val="21"/>
          <w:szCs w:val="21"/>
        </w:rPr>
        <w:t>的社会革命论，使人民懂得，这不但是完全必要的，而且是完全可能的。”</w:t>
      </w:r>
    </w:p>
    <w:p w14:paraId="35D18240">
      <w:pPr>
        <w:pStyle w:val="2"/>
        <w:spacing w:before="44" w:line="219" w:lineRule="auto"/>
        <w:ind w:left="5624"/>
      </w:pPr>
      <w:r>
        <w:rPr>
          <w:spacing w:val="7"/>
        </w:rPr>
        <w:t>——摘编自《毛泽东文集第1卷》</w:t>
      </w:r>
    </w:p>
    <w:p w14:paraId="70109F27">
      <w:pPr>
        <w:pStyle w:val="2"/>
        <w:spacing w:before="49" w:line="219" w:lineRule="auto"/>
        <w:ind w:left="134"/>
      </w:pPr>
      <w:r>
        <w:rPr>
          <w:spacing w:val="14"/>
        </w:rPr>
        <w:t>(1)概括材料揭示的近代“社会革命”概念的内涵。(4分)浙</w:t>
      </w:r>
      <w:r>
        <w:rPr>
          <w:spacing w:val="13"/>
        </w:rPr>
        <w:t>考神墙750</w:t>
      </w:r>
    </w:p>
    <w:p w14:paraId="1D35D42C">
      <w:pPr>
        <w:pStyle w:val="2"/>
        <w:spacing w:before="72" w:line="254" w:lineRule="auto"/>
        <w:ind w:left="564" w:right="298" w:hanging="430"/>
      </w:pPr>
      <w:r>
        <w:rPr>
          <w:spacing w:val="-2"/>
        </w:rPr>
        <w:t>(2)提取材料全部或部分信息，围绕近代“社会革命”这一主题，自拟论题，写</w:t>
      </w:r>
      <w:r>
        <w:rPr>
          <w:spacing w:val="-3"/>
        </w:rPr>
        <w:t>一篇历史短文，</w:t>
      </w:r>
      <w:r>
        <w:t xml:space="preserve"> </w:t>
      </w:r>
      <w:r>
        <w:rPr>
          <w:spacing w:val="8"/>
        </w:rPr>
        <w:t>并予以阐述。(要求：</w:t>
      </w:r>
      <w:r>
        <w:rPr>
          <w:spacing w:val="117"/>
        </w:rPr>
        <w:t xml:space="preserve"> </w:t>
      </w:r>
      <w:r>
        <w:rPr>
          <w:spacing w:val="8"/>
        </w:rPr>
        <w:t>标题自拟，观点陈述正确，史实例举充分，结论合理)(12分)</w:t>
      </w:r>
    </w:p>
    <w:sectPr>
      <w:headerReference r:id="rId10" w:type="default"/>
      <w:footerReference r:id="rId11" w:type="default"/>
      <w:pgSz w:w="10440" w:h="14740"/>
      <w:pgMar w:top="758" w:right="588" w:bottom="801" w:left="795" w:header="266" w:footer="5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5AA6">
    <w:pPr>
      <w:pStyle w:val="2"/>
      <w:spacing w:line="210" w:lineRule="auto"/>
      <w:ind w:left="3209"/>
    </w:pPr>
    <w:r>
      <w:rPr>
        <w:spacing w:val="3"/>
      </w:rPr>
      <w:t>高三历史试题第2页共5页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AA9F">
    <w:pPr>
      <w:pStyle w:val="2"/>
      <w:spacing w:line="210" w:lineRule="auto"/>
      <w:ind w:left="3199"/>
    </w:pPr>
    <w:r>
      <w:rPr>
        <w:spacing w:val="3"/>
      </w:rPr>
      <w:t>高三历史试题第3页共5页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447F">
    <w:pPr>
      <w:pStyle w:val="2"/>
      <w:spacing w:line="210" w:lineRule="auto"/>
      <w:ind w:left="3220"/>
    </w:pPr>
    <w:r>
      <w:rPr>
        <w:spacing w:val="3"/>
      </w:rPr>
      <w:t>高三历史试题第4页共5页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B5E1">
    <w:pPr>
      <w:pStyle w:val="2"/>
      <w:spacing w:line="210" w:lineRule="auto"/>
      <w:ind w:left="3244"/>
    </w:pPr>
    <w:r>
      <w:rPr>
        <w:spacing w:val="3"/>
      </w:rPr>
      <w:t>高三历史试题第5页共5页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A177">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46B0">
    <w:pPr>
      <w:pStyle w:val="2"/>
      <w:spacing w:before="86" w:line="219" w:lineRule="auto"/>
      <w:ind w:left="1209"/>
      <w:rPr>
        <w:sz w:val="32"/>
        <w:szCs w:val="32"/>
      </w:rPr>
    </w:pPr>
    <w:r>
      <w:rPr>
        <w:sz w:val="18"/>
      </w:rPr>
      <w:pict>
        <v:shape id="_x0000_s2050" o:spid="_x0000_s2050" o:spt="136" type="#_x0000_t136" style="position:absolute;left:0pt;height:121.6pt;width:465.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202E">
    <w:pPr>
      <w:pStyle w:val="2"/>
      <w:spacing w:before="86" w:line="219" w:lineRule="auto"/>
      <w:ind w:left="1234"/>
      <w:rPr>
        <w:sz w:val="32"/>
        <w:szCs w:val="32"/>
      </w:rPr>
    </w:pPr>
    <w:r>
      <w:rPr>
        <w:sz w:val="18"/>
      </w:rPr>
      <w:pict>
        <v:shape id="_x0000_s2051" o:spid="_x0000_s2051" o:spt="136" type="#_x0000_t136" style="position:absolute;left:0pt;height:121.6pt;width:465.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FE2F0D"/>
    <w:rsid w:val="4B9BB4BD"/>
    <w:rsid w:val="75354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1"/>
    <customShpInfo spid="_x0000_s1027"/>
    <customShpInfo spid="_x0000_s1028"/>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5022</Words>
  <Characters>5407</Characters>
  <TotalTime>0</TotalTime>
  <ScaleCrop>false</ScaleCrop>
  <LinksUpToDate>false</LinksUpToDate>
  <CharactersWithSpaces>6307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2025-12-03T02:20:00Z</dcterms:created>
  <dc:creator>Data</dc:creator>
  <cp:lastModifiedBy>温州杨府山高复学校</cp:lastModifiedBy>
  <dcterms:modified xsi:type="dcterms:W3CDTF">2026-01-29T06:47:42Z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2025-12-02T10:20:08Z</vt:filetime>
  </property>
  <property fmtid="{D5CDD505-2E9C-101B-9397-08002B2CF9AE}" pid="4" name="UsrData">
    <vt:lpwstr>692e4cd3ac2b00001f57154bwl</vt:lpwstr>
  </property>
  <property fmtid="{D5CDD505-2E9C-101B-9397-08002B2CF9AE}" pid="5" name="KSOProductBuildVer">
    <vt:lpwstr>2052-12.1.0.24657</vt:lpwstr>
  </property>
  <property fmtid="{D5CDD505-2E9C-101B-9397-08002B2CF9AE}" pid="6" name="ICV">
    <vt:lpwstr>7635335D1F6945C6434D2E6902A29FD3_42</vt:lpwstr>
  </property>
  <property fmtid="{D5CDD505-2E9C-101B-9397-08002B2CF9AE}" pid="7" name="KSOTemplateDocerSaveRecord">
    <vt:lpwstr>eyJoZGlkIjoiODg0NjEyYWZmOTFiZTBhYWY4MzViODUzOGU2MTc1ZDQiLCJ1c2VySWQiOiIyNzgwOTYxODEifQ==</vt:lpwstr>
  </property>
</Properties>
</file>