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74975">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12014200</wp:posOffset>
            </wp:positionH>
            <wp:positionV relativeFrom="topMargin">
              <wp:posOffset>11353800</wp:posOffset>
            </wp:positionV>
            <wp:extent cx="254000" cy="317500"/>
            <wp:effectExtent l="0" t="0" r="12700" b="635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254000" cy="317500"/>
                    </a:xfrm>
                    <a:prstGeom prst="rect">
                      <a:avLst/>
                    </a:prstGeom>
                  </pic:spPr>
                </pic:pic>
              </a:graphicData>
            </a:graphic>
          </wp:anchor>
        </w:drawing>
      </w:r>
      <w:r>
        <w:rPr>
          <w:rFonts w:ascii="Times New Roman" w:hAnsi="Times New Roman" w:eastAsia="Times New Roman" w:cs="Times New Roman"/>
          <w:b/>
          <w:color w:val="auto"/>
          <w:sz w:val="32"/>
        </w:rPr>
        <w:t>2025</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月浙江省普通高校招生选考科目考试</w:t>
      </w:r>
    </w:p>
    <w:p w14:paraId="43808036">
      <w:pPr>
        <w:spacing w:line="360" w:lineRule="auto"/>
        <w:jc w:val="center"/>
      </w:pPr>
      <w:r>
        <w:rPr>
          <w:rFonts w:ascii="宋体" w:hAnsi="宋体" w:eastAsia="宋体" w:cs="宋体"/>
          <w:b/>
          <w:color w:val="auto"/>
          <w:sz w:val="32"/>
        </w:rPr>
        <w:t>地理</w:t>
      </w:r>
    </w:p>
    <w:p w14:paraId="0C560CFA">
      <w:pPr>
        <w:spacing w:line="360" w:lineRule="auto"/>
        <w:jc w:val="center"/>
      </w:pPr>
      <w:r>
        <w:rPr>
          <w:rFonts w:ascii="宋体" w:hAnsi="宋体" w:eastAsia="宋体" w:cs="宋体"/>
          <w:b/>
          <w:color w:val="auto"/>
          <w:sz w:val="24"/>
        </w:rPr>
        <w:t>姓名</w:t>
      </w:r>
      <w:r>
        <w:rPr>
          <w:rFonts w:ascii="Times New Roman" w:hAnsi="Times New Roman" w:eastAsia="Times New Roman" w:cs="Times New Roman"/>
          <w:b/>
          <w:color w:val="auto"/>
          <w:sz w:val="24"/>
        </w:rPr>
        <w:t>____</w:t>
      </w:r>
      <w:r>
        <w:rPr>
          <w:rFonts w:ascii="宋体" w:hAnsi="宋体" w:eastAsia="宋体" w:cs="宋体"/>
          <w:b/>
          <w:color w:val="auto"/>
          <w:sz w:val="24"/>
        </w:rPr>
        <w:t>准考证号</w:t>
      </w:r>
      <w:r>
        <w:rPr>
          <w:rFonts w:ascii="Times New Roman" w:hAnsi="Times New Roman" w:eastAsia="Times New Roman" w:cs="Times New Roman"/>
          <w:b/>
          <w:color w:val="auto"/>
          <w:sz w:val="24"/>
        </w:rPr>
        <w:t>____</w:t>
      </w:r>
    </w:p>
    <w:p w14:paraId="4F7BE050">
      <w:pPr>
        <w:spacing w:line="360" w:lineRule="auto"/>
        <w:jc w:val="left"/>
      </w:pPr>
      <w:r>
        <w:rPr>
          <w:rFonts w:ascii="宋体" w:hAnsi="宋体" w:eastAsia="宋体" w:cs="宋体"/>
          <w:b/>
          <w:color w:val="auto"/>
          <w:sz w:val="24"/>
        </w:rPr>
        <w:t>本试题卷分选择题和非选择题两部分，共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22E421F0">
      <w:pPr>
        <w:spacing w:line="360" w:lineRule="auto"/>
        <w:jc w:val="left"/>
      </w:pPr>
      <w:r>
        <w:rPr>
          <w:rFonts w:ascii="宋体" w:hAnsi="宋体" w:eastAsia="宋体" w:cs="宋体"/>
          <w:b/>
          <w:color w:val="auto"/>
          <w:sz w:val="24"/>
        </w:rPr>
        <w:t>考生注意：</w:t>
      </w:r>
    </w:p>
    <w:p w14:paraId="431D2E2C">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．答题前，请务必将直接的姓名、准考证号用黑色字迹的签字笔或钢笔分别填写在试题卷河答题纸规定的位置上。</w:t>
      </w:r>
    </w:p>
    <w:p w14:paraId="6F01EC64">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w:t>
      </w:r>
      <w:r>
        <w:rPr>
          <w:rFonts w:ascii="Times New Roman" w:hAnsi="Times New Roman" w:eastAsia="Times New Roman" w:cs="Times New Roman"/>
          <w:b/>
          <w:color w:val="auto"/>
          <w:sz w:val="24"/>
        </w:rPr>
        <w:t>“</w:t>
      </w:r>
      <w:r>
        <w:rPr>
          <w:rFonts w:ascii="宋体" w:hAnsi="宋体" w:eastAsia="宋体" w:cs="宋体"/>
          <w:b/>
          <w:color w:val="auto"/>
          <w:sz w:val="24"/>
        </w:rPr>
        <w:t>注意事项</w:t>
      </w:r>
      <w:r>
        <w:rPr>
          <w:rFonts w:ascii="Times New Roman" w:hAnsi="Times New Roman" w:eastAsia="Times New Roman" w:cs="Times New Roman"/>
          <w:b/>
          <w:color w:val="auto"/>
          <w:sz w:val="24"/>
        </w:rPr>
        <w:t>”</w:t>
      </w:r>
      <w:r>
        <w:rPr>
          <w:rFonts w:ascii="宋体" w:hAnsi="宋体" w:eastAsia="宋体" w:cs="宋体"/>
          <w:b/>
          <w:color w:val="auto"/>
          <w:sz w:val="24"/>
        </w:rPr>
        <w:t>的要求，在答题纸相应的位置上规范作答，在本试题卷上的作答一律无效。</w:t>
      </w:r>
    </w:p>
    <w:p w14:paraId="1C3168BA">
      <w:pPr>
        <w:spacing w:line="360" w:lineRule="auto"/>
        <w:jc w:val="center"/>
      </w:pPr>
      <w:r>
        <w:rPr>
          <w:rFonts w:ascii="宋体" w:hAnsi="宋体" w:eastAsia="宋体" w:cs="宋体"/>
          <w:b/>
          <w:color w:val="auto"/>
          <w:sz w:val="24"/>
        </w:rPr>
        <w:t>选择题部分</w:t>
      </w:r>
    </w:p>
    <w:p w14:paraId="15AE5F8B">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分。每小题列出的四个备选项中只有一个是符合题目要求的，不选、多选、错选均不得分）</w:t>
      </w:r>
    </w:p>
    <w:p w14:paraId="6F2424DA">
      <w:pPr>
        <w:spacing w:line="360" w:lineRule="auto"/>
        <w:ind w:firstLine="420"/>
        <w:jc w:val="left"/>
      </w:pPr>
      <w:r>
        <w:rPr>
          <w:rFonts w:ascii="楷体" w:hAnsi="楷体" w:eastAsia="楷体" w:cs="楷体"/>
          <w:color w:val="auto"/>
        </w:rPr>
        <w:t>碳中和背景下，发展海上风电成为全球共识。各国政府对海上风电产业，往往通过政策激励和引领，不断提高其经济性，实现快速发展。</w:t>
      </w:r>
      <w:r>
        <w:rPr>
          <w:rFonts w:ascii="Times New Roman" w:hAnsi="Times New Roman" w:eastAsia="Times New Roman" w:cs="Times New Roman"/>
          <w:color w:val="auto"/>
        </w:rPr>
        <w:t>2021</w:t>
      </w:r>
      <w:r>
        <w:rPr>
          <w:rFonts w:ascii="楷体" w:hAnsi="楷体" w:eastAsia="楷体" w:cs="楷体"/>
          <w:color w:val="auto"/>
        </w:rPr>
        <w:t>年我国海上风电新增装机容量位居世界第一。完成下面小题。</w:t>
      </w:r>
    </w:p>
    <w:p w14:paraId="2FBB48B3">
      <w:pPr>
        <w:spacing w:line="360" w:lineRule="auto"/>
        <w:jc w:val="left"/>
        <w:textAlignment w:val="center"/>
        <w:rPr>
          <w:color w:val="auto"/>
        </w:rPr>
      </w:pPr>
      <w:r>
        <w:t xml:space="preserve">1. </w:t>
      </w:r>
      <w:r>
        <w:rPr>
          <w:rFonts w:ascii="宋体" w:hAnsi="宋体" w:eastAsia="宋体" w:cs="宋体"/>
          <w:color w:val="auto"/>
        </w:rPr>
        <w:t>近年来，我国海上风电装机容量快速增长的主要原因是（</w:t>
      </w:r>
      <w:r>
        <w:rPr>
          <w:rFonts w:ascii="Times New Roman" w:hAnsi="Times New Roman" w:eastAsia="Times New Roman" w:cs="Times New Roman"/>
          <w:color w:val="auto"/>
        </w:rPr>
        <w:t xml:space="preserve">   </w:t>
      </w:r>
      <w:r>
        <w:rPr>
          <w:rFonts w:ascii="宋体" w:hAnsi="宋体" w:eastAsia="宋体" w:cs="宋体"/>
          <w:color w:val="auto"/>
        </w:rPr>
        <w:t>）</w:t>
      </w:r>
    </w:p>
    <w:p w14:paraId="550F9245">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风能清洁</w:t>
      </w:r>
      <w:r>
        <w:tab/>
      </w:r>
      <w:r>
        <w:t xml:space="preserve">B. </w:t>
      </w:r>
      <w:r>
        <w:rPr>
          <w:rFonts w:ascii="宋体" w:hAnsi="宋体" w:eastAsia="宋体" w:cs="宋体"/>
          <w:color w:val="auto"/>
        </w:rPr>
        <w:t>国家政策支持</w:t>
      </w:r>
      <w:r>
        <w:tab/>
      </w:r>
      <w:r>
        <w:t xml:space="preserve">C. </w:t>
      </w:r>
      <w:r>
        <w:rPr>
          <w:rFonts w:ascii="宋体" w:hAnsi="宋体" w:eastAsia="宋体" w:cs="宋体"/>
          <w:color w:val="auto"/>
        </w:rPr>
        <w:t>风能可再生</w:t>
      </w:r>
      <w:r>
        <w:tab/>
      </w:r>
      <w:r>
        <w:t xml:space="preserve">D. </w:t>
      </w:r>
      <w:r>
        <w:rPr>
          <w:rFonts w:ascii="宋体" w:hAnsi="宋体" w:eastAsia="宋体" w:cs="宋体"/>
          <w:color w:val="auto"/>
        </w:rPr>
        <w:t>市场需求增加</w:t>
      </w:r>
    </w:p>
    <w:p w14:paraId="40915F64">
      <w:pPr>
        <w:spacing w:line="360" w:lineRule="auto"/>
        <w:jc w:val="left"/>
        <w:textAlignment w:val="center"/>
        <w:rPr>
          <w:color w:val="auto"/>
        </w:rPr>
      </w:pPr>
      <w:r>
        <w:t xml:space="preserve">2. </w:t>
      </w:r>
      <w:r>
        <w:rPr>
          <w:rFonts w:ascii="宋体" w:hAnsi="宋体" w:eastAsia="宋体" w:cs="宋体"/>
          <w:color w:val="auto"/>
        </w:rPr>
        <w:t>海上风电在我国总发电量中占比低，是因为（</w:t>
      </w:r>
      <w:r>
        <w:rPr>
          <w:rFonts w:ascii="Times New Roman" w:hAnsi="Times New Roman" w:eastAsia="Times New Roman" w:cs="Times New Roman"/>
          <w:color w:val="auto"/>
        </w:rPr>
        <w:t xml:space="preserve">   </w:t>
      </w:r>
      <w:r>
        <w:rPr>
          <w:rFonts w:ascii="宋体" w:hAnsi="宋体" w:eastAsia="宋体" w:cs="宋体"/>
          <w:color w:val="auto"/>
        </w:rPr>
        <w:t>）</w:t>
      </w:r>
    </w:p>
    <w:p w14:paraId="7CAA6638">
      <w:pPr>
        <w:spacing w:line="360" w:lineRule="auto"/>
        <w:jc w:val="left"/>
      </w:pPr>
      <w:r>
        <w:rPr>
          <w:rFonts w:ascii="宋体" w:hAnsi="宋体" w:eastAsia="宋体" w:cs="宋体"/>
          <w:color w:val="auto"/>
        </w:rPr>
        <w:t>①产业发展起步晚②海上可利用空间小③能源消费总量大④海上风能资源匮乏</w:t>
      </w:r>
    </w:p>
    <w:p w14:paraId="04B21520">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①③</w:t>
      </w:r>
      <w:r>
        <w:tab/>
      </w:r>
      <w:r>
        <w:t xml:space="preserve">B. </w:t>
      </w:r>
      <w:r>
        <w:rPr>
          <w:rFonts w:ascii="宋体" w:hAnsi="宋体" w:eastAsia="宋体" w:cs="宋体"/>
          <w:color w:val="auto"/>
        </w:rPr>
        <w:t>①④</w:t>
      </w:r>
      <w:r>
        <w:tab/>
      </w:r>
      <w:r>
        <w:t xml:space="preserve">C. </w:t>
      </w:r>
      <w:r>
        <w:rPr>
          <w:rFonts w:ascii="宋体" w:hAnsi="宋体" w:eastAsia="宋体" w:cs="宋体"/>
          <w:color w:val="auto"/>
        </w:rPr>
        <w:t>②③</w:t>
      </w:r>
      <w:r>
        <w:tab/>
      </w:r>
      <w:r>
        <w:t xml:space="preserve">D. </w:t>
      </w:r>
      <w:r>
        <w:rPr>
          <w:rFonts w:ascii="宋体" w:hAnsi="宋体" w:eastAsia="宋体" w:cs="宋体"/>
          <w:color w:val="auto"/>
        </w:rPr>
        <w:t>②④</w:t>
      </w:r>
    </w:p>
    <w:p w14:paraId="7AB5C87E">
      <w:pPr>
        <w:spacing w:line="360" w:lineRule="auto"/>
        <w:textAlignment w:val="center"/>
        <w:rPr>
          <w:color w:val="000000"/>
        </w:rPr>
      </w:pPr>
      <w:r>
        <w:rPr>
          <w:color w:val="2E75B6"/>
        </w:rPr>
        <w:t>【答案】</w:t>
      </w:r>
      <w:r>
        <w:rPr>
          <w:color w:val="000000"/>
        </w:rPr>
        <w:t>1. B    2. A</w:t>
      </w:r>
    </w:p>
    <w:p w14:paraId="23A66B6B">
      <w:pPr>
        <w:spacing w:line="360" w:lineRule="auto"/>
        <w:textAlignment w:val="center"/>
        <w:rPr>
          <w:color w:val="000000"/>
        </w:rPr>
      </w:pPr>
      <w:r>
        <w:rPr>
          <w:color w:val="2E75B6"/>
        </w:rPr>
        <w:t>【解析】</w:t>
      </w:r>
    </w:p>
    <w:p w14:paraId="5358C8E1">
      <w:pPr>
        <w:spacing w:line="360" w:lineRule="auto"/>
        <w:textAlignment w:val="center"/>
        <w:rPr>
          <w:color w:val="000000"/>
        </w:rPr>
      </w:pPr>
      <w:r>
        <w:rPr>
          <w:color w:val="000000"/>
        </w:rPr>
        <w:t>【1题详解】</w:t>
      </w:r>
    </w:p>
    <w:p w14:paraId="528A5965">
      <w:pPr>
        <w:spacing w:line="360" w:lineRule="auto"/>
        <w:jc w:val="left"/>
        <w:textAlignment w:val="center"/>
        <w:rPr>
          <w:color w:val="000000"/>
        </w:rPr>
      </w:pPr>
      <w:r>
        <w:rPr>
          <w:color w:val="000000"/>
        </w:rPr>
        <w:t>材料中提到“各国政府对海上风电产业，往往通过政策激励和引领，不断提高其经济性，实现发展”，2021年我国海上风电新增装机容量位居世界第一，说明国家政策支持对海上风电装机容量的快速增长起到了关键作用，B正确；风能清洁、可再生确实是风能的优点，清洁、可再生能源有多种，这些特性不是海上风电装机容量快速增长的原因，AC错误；市场需求增加是一个影响因素，相比之下，政策支持对产业发展的推动作用更为直接和关键，D错误。故选B。</w:t>
      </w:r>
    </w:p>
    <w:p w14:paraId="0F5DDA55">
      <w:pPr>
        <w:spacing w:line="360" w:lineRule="auto"/>
        <w:jc w:val="left"/>
        <w:textAlignment w:val="center"/>
        <w:rPr>
          <w:color w:val="000000"/>
        </w:rPr>
      </w:pPr>
      <w:r>
        <w:rPr>
          <w:color w:val="000000"/>
        </w:rPr>
        <w:t>【2题详解】</w:t>
      </w:r>
    </w:p>
    <w:p w14:paraId="56C5AD9F">
      <w:pPr>
        <w:spacing w:line="360" w:lineRule="auto"/>
        <w:jc w:val="left"/>
        <w:textAlignment w:val="center"/>
        <w:rPr>
          <w:color w:val="000000"/>
        </w:rPr>
      </w:pPr>
      <w:r>
        <w:rPr>
          <w:color w:val="000000"/>
        </w:rPr>
        <w:t>我国海上风电产业发展起步晚，在技术、规模等方面的积累相对较少，所以在总发电量中占比低，①正确；我国海域面积广阔，海上可利用空间大，②错误；我国能源消费总量大，海上风电装机容量即使快速增长，但由于能源消费总量庞大，所以在总发电量中占比仍然较低，③正确；海上风能资源丰富，④错误。综上所述，A正确，排除BCD。故选A。</w:t>
      </w:r>
    </w:p>
    <w:p w14:paraId="70D6DFAF">
      <w:pPr>
        <w:spacing w:line="360" w:lineRule="auto"/>
        <w:jc w:val="left"/>
        <w:textAlignment w:val="center"/>
        <w:rPr>
          <w:color w:val="000000"/>
        </w:rPr>
      </w:pPr>
      <w:r>
        <w:rPr>
          <w:color w:val="000000"/>
        </w:rPr>
        <w:t>【点睛】风能资源开发包括陆上风电和海上风电，开发风电资源对我国生态、环境及能源安全具有重要意义。 海上风电工程复杂，运行环境恶劣，施工难度大，技术要求高。但海上风电具有风速平稳、装机容量大和占地小的优势。</w:t>
      </w:r>
    </w:p>
    <w:p w14:paraId="109E99DF">
      <w:pPr>
        <w:spacing w:line="360" w:lineRule="auto"/>
        <w:ind w:firstLine="420"/>
        <w:jc w:val="left"/>
        <w:textAlignment w:val="center"/>
        <w:rPr>
          <w:color w:val="000000"/>
        </w:rPr>
      </w:pPr>
      <w:r>
        <w:rPr>
          <w:rFonts w:ascii="楷体" w:hAnsi="楷体" w:eastAsia="楷体" w:cs="楷体"/>
          <w:color w:val="000000"/>
        </w:rPr>
        <w:t>下图为某地地质剖面图，图中出露岩层经历了晚古生代的泥盆纪、石炭纪、二叠纪和中生代的三叠纪、侏罗纪、白垩纪等地质时期的变迁。完成下面小题。</w:t>
      </w:r>
    </w:p>
    <w:p w14:paraId="33FEFC1C">
      <w:pPr>
        <w:spacing w:line="360" w:lineRule="auto"/>
        <w:jc w:val="left"/>
        <w:textAlignment w:val="center"/>
        <w:rPr>
          <w:color w:val="000000"/>
        </w:rPr>
      </w:pPr>
      <w:r>
        <w:rPr>
          <w:color w:val="000000"/>
        </w:rPr>
        <w:drawing>
          <wp:inline distT="0" distB="0" distL="114300" distR="114300">
            <wp:extent cx="1962150" cy="2085975"/>
            <wp:effectExtent l="0" t="0" r="0" b="9525"/>
            <wp:docPr id="100003" name="图片 10000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dOIRD7MIOSHNAx1ODbqMbQ=="/>
                    <pic:cNvPicPr>
                      <a:picLocks noChangeAspect="1"/>
                    </pic:cNvPicPr>
                  </pic:nvPicPr>
                  <pic:blipFill>
                    <a:blip r:embed="rId7"/>
                    <a:stretch>
                      <a:fillRect/>
                    </a:stretch>
                  </pic:blipFill>
                  <pic:spPr>
                    <a:xfrm>
                      <a:off x="0" y="0"/>
                      <a:ext cx="1962150" cy="2085975"/>
                    </a:xfrm>
                    <a:prstGeom prst="rect">
                      <a:avLst/>
                    </a:prstGeom>
                  </pic:spPr>
                </pic:pic>
              </a:graphicData>
            </a:graphic>
          </wp:inline>
        </w:drawing>
      </w:r>
    </w:p>
    <w:p w14:paraId="31E00ACC">
      <w:pPr>
        <w:spacing w:line="360" w:lineRule="auto"/>
        <w:jc w:val="left"/>
        <w:textAlignment w:val="center"/>
        <w:rPr>
          <w:color w:val="000000"/>
        </w:rPr>
      </w:pPr>
      <w:r>
        <w:rPr>
          <w:color w:val="000000"/>
        </w:rPr>
        <w:t xml:space="preserve">3. </w:t>
      </w:r>
      <w:r>
        <w:rPr>
          <w:rFonts w:ascii="宋体" w:hAnsi="宋体" w:eastAsia="宋体" w:cs="宋体"/>
          <w:color w:val="000000"/>
        </w:rPr>
        <w:t>图示石灰岩形成时期（</w:t>
      </w:r>
      <w:r>
        <w:rPr>
          <w:rFonts w:ascii="Times New Roman" w:hAnsi="Times New Roman" w:eastAsia="Times New Roman" w:cs="Times New Roman"/>
          <w:color w:val="000000"/>
        </w:rPr>
        <w:t xml:space="preserve">   </w:t>
      </w:r>
      <w:r>
        <w:rPr>
          <w:rFonts w:ascii="宋体" w:hAnsi="宋体" w:eastAsia="宋体" w:cs="宋体"/>
          <w:color w:val="000000"/>
        </w:rPr>
        <w:t>）</w:t>
      </w:r>
    </w:p>
    <w:p w14:paraId="51DF253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爬行动物盛行</w:t>
      </w:r>
      <w:r>
        <w:rPr>
          <w:color w:val="000000"/>
        </w:rPr>
        <w:tab/>
      </w:r>
      <w:r>
        <w:rPr>
          <w:color w:val="000000"/>
        </w:rPr>
        <w:t xml:space="preserve">B. </w:t>
      </w:r>
      <w:r>
        <w:rPr>
          <w:rFonts w:ascii="宋体" w:hAnsi="宋体" w:eastAsia="宋体" w:cs="宋体"/>
          <w:color w:val="000000"/>
        </w:rPr>
        <w:t>被子植物兴盛</w:t>
      </w:r>
      <w:r>
        <w:rPr>
          <w:color w:val="000000"/>
        </w:rPr>
        <w:tab/>
      </w:r>
      <w:r>
        <w:rPr>
          <w:color w:val="000000"/>
        </w:rPr>
        <w:t xml:space="preserve">C. </w:t>
      </w:r>
      <w:r>
        <w:rPr>
          <w:rFonts w:ascii="宋体" w:hAnsi="宋体" w:eastAsia="宋体" w:cs="宋体"/>
          <w:color w:val="000000"/>
        </w:rPr>
        <w:t>蕨类植物繁盛</w:t>
      </w:r>
      <w:r>
        <w:rPr>
          <w:color w:val="000000"/>
        </w:rPr>
        <w:tab/>
      </w:r>
      <w:r>
        <w:rPr>
          <w:color w:val="000000"/>
        </w:rPr>
        <w:t xml:space="preserve">D. </w:t>
      </w:r>
      <w:r>
        <w:rPr>
          <w:rFonts w:ascii="宋体" w:hAnsi="宋体" w:eastAsia="宋体" w:cs="宋体"/>
          <w:color w:val="000000"/>
        </w:rPr>
        <w:t>三叶虫开始出现</w:t>
      </w:r>
    </w:p>
    <w:p w14:paraId="615949FB">
      <w:pPr>
        <w:spacing w:line="360" w:lineRule="auto"/>
        <w:jc w:val="left"/>
        <w:textAlignment w:val="center"/>
        <w:rPr>
          <w:color w:val="000000"/>
        </w:rPr>
      </w:pPr>
      <w:r>
        <w:rPr>
          <w:color w:val="000000"/>
        </w:rPr>
        <w:t xml:space="preserve">4. </w:t>
      </w:r>
      <w:r>
        <w:rPr>
          <w:rFonts w:ascii="宋体" w:hAnsi="宋体" w:eastAsia="宋体" w:cs="宋体"/>
          <w:color w:val="000000"/>
        </w:rPr>
        <w:t>图中未知岩层可能是（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2E9553B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泥盆纪砂砾岩</w:t>
      </w:r>
      <w:r>
        <w:rPr>
          <w:color w:val="000000"/>
        </w:rPr>
        <w:tab/>
      </w:r>
      <w:r>
        <w:rPr>
          <w:color w:val="000000"/>
        </w:rPr>
        <w:t xml:space="preserve">B. </w:t>
      </w:r>
      <w:r>
        <w:rPr>
          <w:rFonts w:ascii="宋体" w:hAnsi="宋体" w:eastAsia="宋体" w:cs="宋体"/>
          <w:color w:val="000000"/>
        </w:rPr>
        <w:t>石炭纪粉砂岩</w:t>
      </w:r>
      <w:r>
        <w:rPr>
          <w:color w:val="000000"/>
        </w:rPr>
        <w:tab/>
      </w:r>
      <w:r>
        <w:rPr>
          <w:color w:val="000000"/>
        </w:rPr>
        <w:t xml:space="preserve">C. </w:t>
      </w:r>
      <w:r>
        <w:rPr>
          <w:rFonts w:ascii="宋体" w:hAnsi="宋体" w:eastAsia="宋体" w:cs="宋体"/>
          <w:color w:val="000000"/>
        </w:rPr>
        <w:t>二叠纪砂页岩</w:t>
      </w:r>
      <w:r>
        <w:rPr>
          <w:color w:val="000000"/>
        </w:rPr>
        <w:tab/>
      </w:r>
      <w:r>
        <w:rPr>
          <w:color w:val="000000"/>
        </w:rPr>
        <w:t xml:space="preserve">D. </w:t>
      </w:r>
      <w:r>
        <w:rPr>
          <w:rFonts w:ascii="宋体" w:hAnsi="宋体" w:eastAsia="宋体" w:cs="宋体"/>
          <w:color w:val="000000"/>
        </w:rPr>
        <w:t>侏罗纪花岗岩</w:t>
      </w:r>
    </w:p>
    <w:p w14:paraId="4A958542">
      <w:pPr>
        <w:spacing w:line="360" w:lineRule="auto"/>
        <w:textAlignment w:val="center"/>
        <w:rPr>
          <w:color w:val="000000"/>
        </w:rPr>
      </w:pPr>
      <w:r>
        <w:rPr>
          <w:color w:val="2E75B6"/>
        </w:rPr>
        <w:t>【答案】</w:t>
      </w:r>
      <w:r>
        <w:rPr>
          <w:color w:val="000000"/>
        </w:rPr>
        <w:t>3. C    4. D</w:t>
      </w:r>
    </w:p>
    <w:p w14:paraId="034FAD0C">
      <w:pPr>
        <w:spacing w:line="360" w:lineRule="auto"/>
        <w:textAlignment w:val="center"/>
        <w:rPr>
          <w:color w:val="000000"/>
        </w:rPr>
      </w:pPr>
      <w:r>
        <w:rPr>
          <w:color w:val="2E75B6"/>
        </w:rPr>
        <w:t>【解析】</w:t>
      </w:r>
    </w:p>
    <w:p w14:paraId="674EDFD3">
      <w:pPr>
        <w:spacing w:line="360" w:lineRule="auto"/>
        <w:textAlignment w:val="center"/>
        <w:rPr>
          <w:color w:val="000000"/>
        </w:rPr>
      </w:pPr>
      <w:r>
        <w:rPr>
          <w:color w:val="000000"/>
        </w:rPr>
        <w:t>【3题详解】</w:t>
      </w:r>
    </w:p>
    <w:p w14:paraId="2A6C6470">
      <w:pPr>
        <w:spacing w:line="360" w:lineRule="auto"/>
        <w:jc w:val="left"/>
        <w:textAlignment w:val="center"/>
        <w:rPr>
          <w:color w:val="000000"/>
        </w:rPr>
      </w:pPr>
      <w:r>
        <w:rPr>
          <w:color w:val="000000"/>
        </w:rPr>
        <w:t>据图可知，石灰岩形成于距今3亿年的石炭纪，属于晚古生代时期，蕨类植物繁盛，C正确；爬行动物在中生代盛行，被子植物兴盛于新生代，三叶虫开始出现于早古生代的寒武纪，排除ABD。故选C。</w:t>
      </w:r>
    </w:p>
    <w:p w14:paraId="45B65C2A">
      <w:pPr>
        <w:spacing w:line="360" w:lineRule="auto"/>
        <w:jc w:val="left"/>
        <w:textAlignment w:val="center"/>
        <w:rPr>
          <w:color w:val="000000"/>
        </w:rPr>
      </w:pPr>
      <w:r>
        <w:rPr>
          <w:color w:val="000000"/>
        </w:rPr>
        <w:t>【4题详解】</w:t>
      </w:r>
    </w:p>
    <w:p w14:paraId="79AB8255">
      <w:pPr>
        <w:spacing w:line="360" w:lineRule="auto"/>
        <w:jc w:val="left"/>
        <w:textAlignment w:val="center"/>
        <w:rPr>
          <w:color w:val="000000"/>
        </w:rPr>
      </w:pPr>
      <w:r>
        <w:rPr>
          <w:color w:val="000000"/>
        </w:rPr>
        <w:t>据图结合可知，未知岩层形成时间距今1.6亿年，从时间上看，介于2.6亿年形成的古生代二叠纪页岩与1.2亿年的中生代白垩纪碎屑岩之间，可能为中生代侏罗纪花岗岩，D正确；根据材料可知，泥盆纪、石炭纪、二叠纪均属于古生代，时间早于1.6亿年，排除ABC。故选D。</w:t>
      </w:r>
    </w:p>
    <w:p w14:paraId="3FF0A212">
      <w:pPr>
        <w:spacing w:line="360" w:lineRule="auto"/>
        <w:jc w:val="left"/>
        <w:textAlignment w:val="center"/>
        <w:rPr>
          <w:color w:val="000000"/>
        </w:rPr>
      </w:pPr>
      <w:r>
        <w:rPr>
          <w:color w:val="000000"/>
        </w:rPr>
        <w:t>【点睛】中生代生物界事件：植物界：被称为裸子植物时代；在早白垩世晚期，出现被子植物，并在晚白垩世取代裸子植物的统治地位。因此植物界比动物界提前半个纪进入新生代；脊椎动物界：被称为爬行动物时代；出现鸟类；晚三叠世还出现从爬行动物到哺乳动物的过渡类型。</w:t>
      </w:r>
    </w:p>
    <w:p w14:paraId="5EAB58C1">
      <w:pPr>
        <w:spacing w:line="360" w:lineRule="auto"/>
        <w:ind w:firstLine="420"/>
        <w:jc w:val="left"/>
        <w:textAlignment w:val="center"/>
        <w:rPr>
          <w:color w:val="000000"/>
        </w:rPr>
      </w:pPr>
      <w:r>
        <w:rPr>
          <w:rFonts w:ascii="楷体" w:hAnsi="楷体" w:eastAsia="楷体" w:cs="楷体"/>
          <w:color w:val="000000"/>
        </w:rPr>
        <w:t>马铃薯具有耐旱、耐寒和耐瘠的习性。将马铃薯列为主粮有利于保障我国粮食安全。下表为</w:t>
      </w:r>
      <w:r>
        <w:rPr>
          <w:rFonts w:ascii="Times New Roman" w:hAnsi="Times New Roman" w:eastAsia="Times New Roman" w:cs="Times New Roman"/>
          <w:color w:val="000000"/>
        </w:rPr>
        <w:t>2021</w:t>
      </w:r>
      <w:r>
        <w:rPr>
          <w:rFonts w:ascii="楷体" w:hAnsi="楷体" w:eastAsia="楷体" w:cs="楷体"/>
          <w:color w:val="000000"/>
        </w:rPr>
        <w:t>年世界部分国家马铃薯单产比较表。完成下面小题。</w:t>
      </w:r>
    </w:p>
    <w:tbl>
      <w:tblPr>
        <w:tblStyle w:val="4"/>
        <w:tblW w:w="8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35"/>
        <w:gridCol w:w="930"/>
        <w:gridCol w:w="930"/>
        <w:gridCol w:w="705"/>
        <w:gridCol w:w="930"/>
        <w:gridCol w:w="705"/>
        <w:gridCol w:w="705"/>
        <w:gridCol w:w="1170"/>
      </w:tblGrid>
      <w:tr w14:paraId="0F8F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ACB1F8">
            <w:pPr>
              <w:spacing w:line="360" w:lineRule="auto"/>
              <w:jc w:val="left"/>
              <w:textAlignment w:val="center"/>
              <w:rPr>
                <w:color w:val="000000"/>
              </w:rPr>
            </w:pPr>
            <w:r>
              <w:rPr>
                <w:rFonts w:ascii="楷体" w:hAnsi="楷体" w:eastAsia="楷体" w:cs="楷体"/>
                <w:color w:val="000000"/>
              </w:rPr>
              <w:t>国家</w:t>
            </w:r>
          </w:p>
        </w:tc>
        <w:tc>
          <w:tcPr>
            <w:tcW w:w="9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5D84AA">
            <w:pPr>
              <w:spacing w:line="360" w:lineRule="auto"/>
              <w:jc w:val="left"/>
              <w:textAlignment w:val="center"/>
              <w:rPr>
                <w:color w:val="000000"/>
              </w:rPr>
            </w:pPr>
            <w:r>
              <w:rPr>
                <w:rFonts w:ascii="楷体" w:hAnsi="楷体" w:eastAsia="楷体" w:cs="楷体"/>
                <w:color w:val="000000"/>
              </w:rPr>
              <w:t>科威特</w:t>
            </w:r>
          </w:p>
        </w:tc>
        <w:tc>
          <w:tcPr>
            <w:tcW w:w="9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5E48C2">
            <w:pPr>
              <w:spacing w:line="360" w:lineRule="auto"/>
              <w:jc w:val="left"/>
              <w:textAlignment w:val="center"/>
              <w:rPr>
                <w:color w:val="000000"/>
              </w:rPr>
            </w:pPr>
            <w:r>
              <w:rPr>
                <w:rFonts w:ascii="楷体" w:hAnsi="楷体" w:eastAsia="楷体" w:cs="楷体"/>
                <w:color w:val="000000"/>
              </w:rPr>
              <w:t>新西兰</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2D9686">
            <w:pPr>
              <w:spacing w:line="360" w:lineRule="auto"/>
              <w:jc w:val="left"/>
              <w:textAlignment w:val="center"/>
              <w:rPr>
                <w:color w:val="000000"/>
              </w:rPr>
            </w:pPr>
            <w:r>
              <w:rPr>
                <w:rFonts w:ascii="楷体" w:hAnsi="楷体" w:eastAsia="楷体" w:cs="楷体"/>
                <w:color w:val="000000"/>
              </w:rPr>
              <w:t>美国</w:t>
            </w:r>
          </w:p>
        </w:tc>
        <w:tc>
          <w:tcPr>
            <w:tcW w:w="9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CEDB31">
            <w:pPr>
              <w:spacing w:line="360" w:lineRule="auto"/>
              <w:jc w:val="left"/>
              <w:textAlignment w:val="center"/>
              <w:rPr>
                <w:color w:val="000000"/>
              </w:rPr>
            </w:pPr>
            <w:r>
              <w:rPr>
                <w:rFonts w:ascii="楷体" w:hAnsi="楷体" w:eastAsia="楷体" w:cs="楷体"/>
                <w:color w:val="000000"/>
              </w:rPr>
              <w:t>爱尔兰</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7971FA">
            <w:pPr>
              <w:spacing w:line="360" w:lineRule="auto"/>
              <w:jc w:val="left"/>
              <w:textAlignment w:val="center"/>
              <w:rPr>
                <w:color w:val="000000"/>
              </w:rPr>
            </w:pPr>
            <w:r>
              <w:rPr>
                <w:rFonts w:ascii="楷体" w:hAnsi="楷体" w:eastAsia="楷体" w:cs="楷体"/>
                <w:color w:val="000000"/>
              </w:rPr>
              <w:t>德国</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09A3AF">
            <w:pPr>
              <w:spacing w:line="360" w:lineRule="auto"/>
              <w:jc w:val="left"/>
              <w:textAlignment w:val="center"/>
              <w:rPr>
                <w:color w:val="000000"/>
              </w:rPr>
            </w:pPr>
            <w:r>
              <w:rPr>
                <w:rFonts w:ascii="楷体" w:hAnsi="楷体" w:eastAsia="楷体" w:cs="楷体"/>
                <w:color w:val="000000"/>
              </w:rPr>
              <w:t>中国</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B06E76">
            <w:pPr>
              <w:spacing w:line="360" w:lineRule="auto"/>
              <w:jc w:val="left"/>
              <w:textAlignment w:val="center"/>
              <w:rPr>
                <w:color w:val="000000"/>
              </w:rPr>
            </w:pPr>
            <w:r>
              <w:rPr>
                <w:rFonts w:ascii="楷体" w:hAnsi="楷体" w:eastAsia="楷体" w:cs="楷体"/>
                <w:color w:val="000000"/>
              </w:rPr>
              <w:t>世界平均</w:t>
            </w:r>
          </w:p>
        </w:tc>
      </w:tr>
      <w:tr w14:paraId="0780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F00048">
            <w:pPr>
              <w:spacing w:line="360" w:lineRule="auto"/>
              <w:jc w:val="left"/>
              <w:textAlignment w:val="center"/>
              <w:rPr>
                <w:color w:val="000000"/>
              </w:rPr>
            </w:pPr>
            <w:r>
              <w:rPr>
                <w:rFonts w:ascii="楷体" w:hAnsi="楷体" w:eastAsia="楷体" w:cs="楷体"/>
                <w:color w:val="000000"/>
              </w:rPr>
              <w:t>单产（吨</w:t>
            </w:r>
            <w:r>
              <w:rPr>
                <w:rFonts w:ascii="Times New Roman" w:hAnsi="Times New Roman" w:eastAsia="Times New Roman" w:cs="Times New Roman"/>
                <w:color w:val="000000"/>
              </w:rPr>
              <w:t>/</w:t>
            </w:r>
            <w:r>
              <w:rPr>
                <w:rFonts w:ascii="楷体" w:hAnsi="楷体" w:eastAsia="楷体" w:cs="楷体"/>
                <w:color w:val="000000"/>
              </w:rPr>
              <w:t>公顷）</w:t>
            </w:r>
          </w:p>
        </w:tc>
        <w:tc>
          <w:tcPr>
            <w:tcW w:w="9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0CF8B7">
            <w:pPr>
              <w:spacing w:line="360" w:lineRule="auto"/>
              <w:jc w:val="left"/>
              <w:textAlignment w:val="center"/>
              <w:rPr>
                <w:color w:val="000000"/>
              </w:rPr>
            </w:pPr>
            <w:r>
              <w:rPr>
                <w:rFonts w:ascii="Times New Roman" w:hAnsi="Times New Roman" w:eastAsia="Times New Roman" w:cs="Times New Roman"/>
                <w:color w:val="000000"/>
              </w:rPr>
              <w:t>51.9</w:t>
            </w:r>
          </w:p>
        </w:tc>
        <w:tc>
          <w:tcPr>
            <w:tcW w:w="9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581EB6">
            <w:pPr>
              <w:spacing w:line="360" w:lineRule="auto"/>
              <w:jc w:val="left"/>
              <w:textAlignment w:val="center"/>
              <w:rPr>
                <w:color w:val="000000"/>
              </w:rPr>
            </w:pPr>
            <w:r>
              <w:rPr>
                <w:rFonts w:ascii="Times New Roman" w:hAnsi="Times New Roman" w:eastAsia="Times New Roman" w:cs="Times New Roman"/>
                <w:color w:val="000000"/>
              </w:rPr>
              <w:t>50.8</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19C128">
            <w:pPr>
              <w:spacing w:line="360" w:lineRule="auto"/>
              <w:jc w:val="left"/>
              <w:textAlignment w:val="center"/>
              <w:rPr>
                <w:color w:val="000000"/>
              </w:rPr>
            </w:pPr>
            <w:r>
              <w:rPr>
                <w:rFonts w:ascii="Times New Roman" w:hAnsi="Times New Roman" w:eastAsia="Times New Roman" w:cs="Times New Roman"/>
                <w:color w:val="000000"/>
              </w:rPr>
              <w:t>49.1</w:t>
            </w:r>
          </w:p>
        </w:tc>
        <w:tc>
          <w:tcPr>
            <w:tcW w:w="9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93AA45">
            <w:pPr>
              <w:spacing w:line="360" w:lineRule="auto"/>
              <w:jc w:val="left"/>
              <w:textAlignment w:val="center"/>
              <w:rPr>
                <w:color w:val="000000"/>
              </w:rPr>
            </w:pPr>
            <w:r>
              <w:rPr>
                <w:rFonts w:ascii="Times New Roman" w:hAnsi="Times New Roman" w:eastAsia="Times New Roman" w:cs="Times New Roman"/>
                <w:color w:val="000000"/>
              </w:rPr>
              <w:t>45</w:t>
            </w:r>
            <w:r>
              <w:rPr>
                <w:rFonts w:ascii="Times New Roman" w:hAnsi="Times New Roman" w:eastAsia="Times New Roman" w:cs="Times New Roman"/>
                <w:color w:val="000000"/>
                <w:position w:val="-22"/>
              </w:rPr>
              <w:drawing>
                <wp:inline distT="0" distB="0" distL="114300" distR="114300">
                  <wp:extent cx="31750" cy="889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6</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3E3392">
            <w:pPr>
              <w:spacing w:line="360" w:lineRule="auto"/>
              <w:jc w:val="left"/>
              <w:textAlignment w:val="center"/>
              <w:rPr>
                <w:color w:val="000000"/>
              </w:rPr>
            </w:pPr>
            <w:r>
              <w:rPr>
                <w:rFonts w:ascii="Times New Roman" w:hAnsi="Times New Roman" w:eastAsia="Times New Roman" w:cs="Times New Roman"/>
                <w:color w:val="000000"/>
              </w:rPr>
              <w:t>43.8</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64181A">
            <w:pPr>
              <w:spacing w:line="360" w:lineRule="auto"/>
              <w:jc w:val="left"/>
              <w:textAlignment w:val="center"/>
              <w:rPr>
                <w:color w:val="000000"/>
              </w:rPr>
            </w:pPr>
            <w:r>
              <w:rPr>
                <w:rFonts w:ascii="Times New Roman" w:hAnsi="Times New Roman" w:eastAsia="Times New Roman" w:cs="Times New Roman"/>
                <w:color w:val="000000"/>
              </w:rPr>
              <w:t>16.3</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3875C4">
            <w:pPr>
              <w:spacing w:line="360" w:lineRule="auto"/>
              <w:jc w:val="left"/>
              <w:textAlignment w:val="center"/>
              <w:rPr>
                <w:color w:val="000000"/>
              </w:rPr>
            </w:pPr>
            <w:r>
              <w:rPr>
                <w:rFonts w:ascii="Times New Roman" w:hAnsi="Times New Roman" w:eastAsia="Times New Roman" w:cs="Times New Roman"/>
                <w:color w:val="000000"/>
              </w:rPr>
              <w:t>20.7</w:t>
            </w:r>
          </w:p>
        </w:tc>
      </w:tr>
    </w:tbl>
    <w:p w14:paraId="55EA95F6">
      <w:pPr>
        <w:spacing w:line="360" w:lineRule="auto"/>
        <w:jc w:val="left"/>
        <w:textAlignment w:val="center"/>
        <w:rPr>
          <w:color w:val="000000"/>
        </w:rPr>
      </w:pPr>
    </w:p>
    <w:p w14:paraId="0C15CB61">
      <w:pPr>
        <w:spacing w:line="360" w:lineRule="auto"/>
        <w:jc w:val="left"/>
        <w:textAlignment w:val="center"/>
        <w:rPr>
          <w:color w:val="000000"/>
        </w:rPr>
      </w:pPr>
      <w:r>
        <w:rPr>
          <w:color w:val="000000"/>
        </w:rPr>
        <w:t xml:space="preserve">5. </w:t>
      </w:r>
      <w:r>
        <w:rPr>
          <w:rFonts w:ascii="宋体" w:hAnsi="宋体" w:eastAsia="宋体" w:cs="宋体"/>
          <w:color w:val="000000"/>
        </w:rPr>
        <w:t>为提高我国马铃薯单产，下列因素中贡献最大的是（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68D0E6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科学技术</w:t>
      </w:r>
      <w:r>
        <w:rPr>
          <w:color w:val="000000"/>
        </w:rPr>
        <w:tab/>
      </w:r>
      <w:r>
        <w:rPr>
          <w:color w:val="000000"/>
        </w:rPr>
        <w:t xml:space="preserve">B. </w:t>
      </w:r>
      <w:r>
        <w:rPr>
          <w:rFonts w:ascii="宋体" w:hAnsi="宋体" w:eastAsia="宋体" w:cs="宋体"/>
          <w:color w:val="000000"/>
        </w:rPr>
        <w:t>播种面积</w:t>
      </w:r>
      <w:r>
        <w:rPr>
          <w:color w:val="000000"/>
        </w:rPr>
        <w:tab/>
      </w:r>
      <w:r>
        <w:rPr>
          <w:color w:val="000000"/>
        </w:rPr>
        <w:t xml:space="preserve">C. </w:t>
      </w:r>
      <w:r>
        <w:rPr>
          <w:rFonts w:ascii="宋体" w:hAnsi="宋体" w:eastAsia="宋体" w:cs="宋体"/>
          <w:color w:val="000000"/>
        </w:rPr>
        <w:t>劳动力数量</w:t>
      </w:r>
      <w:r>
        <w:rPr>
          <w:color w:val="000000"/>
        </w:rPr>
        <w:tab/>
      </w:r>
      <w:r>
        <w:rPr>
          <w:color w:val="000000"/>
        </w:rPr>
        <w:t xml:space="preserve">D. </w:t>
      </w:r>
      <w:r>
        <w:rPr>
          <w:rFonts w:ascii="宋体" w:hAnsi="宋体" w:eastAsia="宋体" w:cs="宋体"/>
          <w:color w:val="000000"/>
        </w:rPr>
        <w:t>复种指数</w:t>
      </w:r>
    </w:p>
    <w:p w14:paraId="14AEE542">
      <w:pPr>
        <w:spacing w:line="360" w:lineRule="auto"/>
        <w:jc w:val="left"/>
        <w:textAlignment w:val="center"/>
        <w:rPr>
          <w:color w:val="000000"/>
        </w:rPr>
      </w:pPr>
      <w:r>
        <w:rPr>
          <w:color w:val="000000"/>
        </w:rPr>
        <w:t xml:space="preserve">6. </w:t>
      </w:r>
      <w:r>
        <w:rPr>
          <w:rFonts w:ascii="宋体" w:hAnsi="宋体" w:eastAsia="宋体" w:cs="宋体"/>
          <w:color w:val="000000"/>
        </w:rPr>
        <w:t>未来马铃薯在保障我国粮食安全方面可以发挥重要作用，原因是（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01801264">
      <w:pPr>
        <w:spacing w:line="360" w:lineRule="auto"/>
        <w:jc w:val="left"/>
        <w:textAlignment w:val="center"/>
        <w:rPr>
          <w:color w:val="000000"/>
        </w:rPr>
      </w:pPr>
      <w:r>
        <w:rPr>
          <w:rFonts w:ascii="宋体" w:hAnsi="宋体" w:eastAsia="宋体" w:cs="宋体"/>
          <w:color w:val="000000"/>
        </w:rPr>
        <w:t>①易保鲜储存②增产潜力大③环境适应能力强④符合大众饮食习惯</w:t>
      </w:r>
    </w:p>
    <w:p w14:paraId="641D014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1316B439">
      <w:pPr>
        <w:spacing w:line="360" w:lineRule="auto"/>
        <w:textAlignment w:val="center"/>
        <w:rPr>
          <w:color w:val="000000"/>
        </w:rPr>
      </w:pPr>
      <w:r>
        <w:rPr>
          <w:color w:val="2E75B6"/>
        </w:rPr>
        <w:t>【答案】</w:t>
      </w:r>
      <w:r>
        <w:rPr>
          <w:color w:val="000000"/>
        </w:rPr>
        <w:t>5. A    6. C</w:t>
      </w:r>
    </w:p>
    <w:p w14:paraId="3F1C0ACF">
      <w:pPr>
        <w:spacing w:line="360" w:lineRule="auto"/>
        <w:textAlignment w:val="center"/>
        <w:rPr>
          <w:color w:val="000000"/>
        </w:rPr>
      </w:pPr>
      <w:r>
        <w:rPr>
          <w:color w:val="2E75B6"/>
        </w:rPr>
        <w:t>【解析】</w:t>
      </w:r>
    </w:p>
    <w:p w14:paraId="1C5270D5">
      <w:pPr>
        <w:spacing w:line="360" w:lineRule="auto"/>
        <w:textAlignment w:val="center"/>
        <w:rPr>
          <w:color w:val="000000"/>
        </w:rPr>
      </w:pPr>
      <w:r>
        <w:rPr>
          <w:color w:val="000000"/>
        </w:rPr>
        <w:t>【5题详解】</w:t>
      </w:r>
    </w:p>
    <w:p w14:paraId="0AF0C99E">
      <w:pPr>
        <w:spacing w:line="360" w:lineRule="auto"/>
        <w:jc w:val="left"/>
        <w:textAlignment w:val="center"/>
        <w:rPr>
          <w:color w:val="000000"/>
        </w:rPr>
      </w:pPr>
      <w:r>
        <w:rPr>
          <w:color w:val="000000"/>
        </w:rPr>
        <w:t>联系已学可知，我国致力于农业科技发展，通过培育优良品种、改进种植技术、采用先进的灌溉与施肥技术等科学手段，可以有效提高马铃薯的单产，对提高我国马铃薯单产贡献最大，A正确；播种面积的变化影响的是总产量，而非单产，B错误；传统农业时期，通过大量劳动力的精耕细作可以提高单产，但随着农业现代化发展，劳动力数量对单产的影响较小，C错误；复种指数主要影响的是一年内农作物收获的次数，进而影响总产量，对单产提升贡献不大，D错误。故选A。</w:t>
      </w:r>
    </w:p>
    <w:p w14:paraId="54D0332C">
      <w:pPr>
        <w:spacing w:line="360" w:lineRule="auto"/>
        <w:jc w:val="left"/>
        <w:textAlignment w:val="center"/>
        <w:rPr>
          <w:color w:val="000000"/>
        </w:rPr>
      </w:pPr>
      <w:r>
        <w:rPr>
          <w:color w:val="000000"/>
        </w:rPr>
        <w:t>【6题详解】</w:t>
      </w:r>
    </w:p>
    <w:p w14:paraId="6431DF81">
      <w:pPr>
        <w:spacing w:line="360" w:lineRule="auto"/>
        <w:jc w:val="left"/>
        <w:textAlignment w:val="center"/>
        <w:rPr>
          <w:color w:val="000000"/>
        </w:rPr>
      </w:pPr>
      <w:r>
        <w:rPr>
          <w:color w:val="000000"/>
        </w:rPr>
        <w:t xml:space="preserve"> 从表格数据看，我国马铃薯单产低于世界平均水平，所以增产潜力大，②正确；材料中提到马铃薯具有耐旱、耐寒和耐瘠的习性，说明其环境适应能力强，在一些其他作物难以生长的地区也能种植，从而增加粮食供给，保障粮食安全，③正确；马铃薯不易保鲜储存，①错误；马铃薯在我国并非像水稻、小麦那样符合大众饮食习惯，④错误。综上所述，C正确，排除ABD。故选C。</w:t>
      </w:r>
    </w:p>
    <w:p w14:paraId="0DCE6ADC">
      <w:pPr>
        <w:spacing w:line="360" w:lineRule="auto"/>
        <w:jc w:val="left"/>
        <w:textAlignment w:val="center"/>
        <w:rPr>
          <w:color w:val="000000"/>
        </w:rPr>
      </w:pPr>
      <w:r>
        <w:rPr>
          <w:color w:val="000000"/>
        </w:rPr>
        <w:t>【点睛】推进马铃薯主粮化有利于保障我国的粮食安全，马铃薯单产高，增加粮食产量潜力大，可增加我国粮食供给数量；马铃薯富含淀粉、登白质、氨基酸及多种维生素、矿物质，营养丰富，且脂肪含量低，有利于改善我国居民的膳食结构；马铃薯易种、耐寒、耐旱、耐贫瘠占用优质耕地少，不与其他主粮争地抢水，有利于集约利用耕地资源和水资源。</w:t>
      </w:r>
    </w:p>
    <w:p w14:paraId="749A3072">
      <w:pPr>
        <w:spacing w:line="360" w:lineRule="auto"/>
        <w:ind w:firstLine="420"/>
        <w:jc w:val="left"/>
        <w:textAlignment w:val="center"/>
        <w:rPr>
          <w:color w:val="000000"/>
        </w:rPr>
      </w:pPr>
      <w:r>
        <w:rPr>
          <w:rFonts w:ascii="楷体" w:hAnsi="楷体" w:eastAsia="楷体" w:cs="楷体"/>
          <w:color w:val="000000"/>
        </w:rPr>
        <w:t>岩溶作用化学方程式为</w:t>
      </w:r>
      <w:r>
        <w:rPr>
          <w:rFonts w:ascii="Times New Roman" w:hAnsi="Times New Roman" w:eastAsia="Times New Roman" w:cs="Times New Roman"/>
          <w:color w:val="000000"/>
        </w:rPr>
        <w:t>CaCO</w:t>
      </w:r>
      <w:r>
        <w:rPr>
          <w:color w:val="000000"/>
        </w:rPr>
        <w:t>₃</w:t>
      </w:r>
      <w:r>
        <w:rPr>
          <w:rFonts w:ascii="Times New Roman" w:hAnsi="Times New Roman" w:eastAsia="Times New Roman" w:cs="Times New Roman"/>
          <w:color w:val="000000"/>
        </w:rPr>
        <w:t>+CO</w:t>
      </w:r>
      <w:r>
        <w:rPr>
          <w:color w:val="000000"/>
        </w:rPr>
        <w:t>₂</w:t>
      </w:r>
      <w:r>
        <w:rPr>
          <w:rFonts w:ascii="Times New Roman" w:hAnsi="Times New Roman" w:eastAsia="Times New Roman" w:cs="Times New Roman"/>
          <w:color w:val="000000"/>
        </w:rPr>
        <w:t>+H</w:t>
      </w:r>
      <w:r>
        <w:rPr>
          <w:color w:val="000000"/>
        </w:rPr>
        <w:t>₂</w:t>
      </w:r>
      <w:r>
        <w:rPr>
          <w:rFonts w:ascii="Times New Roman" w:hAnsi="Times New Roman" w:eastAsia="Times New Roman" w:cs="Times New Roman"/>
          <w:color w:val="000000"/>
        </w:rPr>
        <w:t>O=Ca</w:t>
      </w:r>
      <w:r>
        <w:rPr>
          <w:rFonts w:ascii="楷体" w:hAnsi="楷体" w:eastAsia="楷体" w:cs="楷体"/>
          <w:color w:val="000000"/>
        </w:rPr>
        <w:t>（</w:t>
      </w:r>
      <w:r>
        <w:rPr>
          <w:rFonts w:ascii="Times New Roman" w:hAnsi="Times New Roman" w:eastAsia="Times New Roman" w:cs="Times New Roman"/>
          <w:color w:val="000000"/>
        </w:rPr>
        <w:t>HCO</w:t>
      </w:r>
      <w:r>
        <w:rPr>
          <w:color w:val="000000"/>
        </w:rPr>
        <w:t>₃</w:t>
      </w:r>
      <w:r>
        <w:rPr>
          <w:rFonts w:ascii="楷体" w:hAnsi="楷体" w:eastAsia="楷体" w:cs="楷体"/>
          <w:color w:val="000000"/>
        </w:rPr>
        <w:t>）</w:t>
      </w:r>
      <w:r>
        <w:rPr>
          <w:color w:val="000000"/>
        </w:rPr>
        <w:t>₂</w:t>
      </w:r>
      <w:r>
        <w:rPr>
          <w:rFonts w:ascii="楷体" w:hAnsi="楷体" w:eastAsia="楷体" w:cs="楷体"/>
          <w:color w:val="000000"/>
        </w:rPr>
        <w:t>。下图为某地喀斯特地貌景观照片。完成下面小题。</w:t>
      </w:r>
    </w:p>
    <w:p w14:paraId="72FAB809">
      <w:pPr>
        <w:spacing w:line="360" w:lineRule="auto"/>
        <w:jc w:val="left"/>
        <w:textAlignment w:val="center"/>
        <w:rPr>
          <w:color w:val="000000"/>
        </w:rPr>
      </w:pPr>
      <w:r>
        <w:rPr>
          <w:color w:val="000000"/>
        </w:rPr>
        <w:drawing>
          <wp:inline distT="0" distB="0" distL="114300" distR="114300">
            <wp:extent cx="2219325" cy="1685925"/>
            <wp:effectExtent l="0" t="0" r="9525" b="9525"/>
            <wp:docPr id="100005" name="图片 10000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dOIRD7MIOSHNAx1ODbqMbQ=="/>
                    <pic:cNvPicPr>
                      <a:picLocks noChangeAspect="1"/>
                    </pic:cNvPicPr>
                  </pic:nvPicPr>
                  <pic:blipFill>
                    <a:blip r:embed="rId9"/>
                    <a:stretch>
                      <a:fillRect/>
                    </a:stretch>
                  </pic:blipFill>
                  <pic:spPr>
                    <a:xfrm>
                      <a:off x="0" y="0"/>
                      <a:ext cx="2219325" cy="1685925"/>
                    </a:xfrm>
                    <a:prstGeom prst="rect">
                      <a:avLst/>
                    </a:prstGeom>
                  </pic:spPr>
                </pic:pic>
              </a:graphicData>
            </a:graphic>
          </wp:inline>
        </w:drawing>
      </w:r>
    </w:p>
    <w:p w14:paraId="249AD88A">
      <w:pPr>
        <w:spacing w:line="360" w:lineRule="auto"/>
        <w:jc w:val="left"/>
        <w:textAlignment w:val="center"/>
        <w:rPr>
          <w:color w:val="000000"/>
        </w:rPr>
      </w:pPr>
      <w:r>
        <w:rPr>
          <w:color w:val="000000"/>
        </w:rPr>
        <w:t xml:space="preserve">7. </w:t>
      </w:r>
      <w:r>
        <w:rPr>
          <w:rFonts w:ascii="宋体" w:hAnsi="宋体" w:eastAsia="宋体" w:cs="宋体"/>
          <w:color w:val="000000"/>
        </w:rPr>
        <w:t>喀斯特洞穴形成过程主要是（</w:t>
      </w:r>
      <w:r>
        <w:rPr>
          <w:rFonts w:ascii="Times New Roman" w:hAnsi="Times New Roman" w:eastAsia="Times New Roman" w:cs="Times New Roman"/>
          <w:color w:val="000000"/>
        </w:rPr>
        <w:t xml:space="preserve">   </w:t>
      </w:r>
      <w:r>
        <w:rPr>
          <w:rFonts w:ascii="宋体" w:hAnsi="宋体" w:eastAsia="宋体" w:cs="宋体"/>
          <w:color w:val="000000"/>
        </w:rPr>
        <w:t>）</w:t>
      </w:r>
    </w:p>
    <w:p w14:paraId="2086214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风化，释放</w:t>
      </w:r>
      <w:r>
        <w:rPr>
          <w:rFonts w:ascii="Times New Roman" w:hAnsi="Times New Roman" w:eastAsia="Times New Roman" w:cs="Times New Roman"/>
          <w:color w:val="000000"/>
        </w:rPr>
        <w:t>CO</w:t>
      </w:r>
      <w:r>
        <w:rPr>
          <w:color w:val="000000"/>
          <w:vertAlign w:val="subscript"/>
        </w:rPr>
        <w:t>2</w:t>
      </w:r>
      <w:r>
        <w:rPr>
          <w:color w:val="000000"/>
        </w:rPr>
        <w:tab/>
      </w:r>
      <w:r>
        <w:rPr>
          <w:color w:val="000000"/>
        </w:rPr>
        <w:t xml:space="preserve">B. </w:t>
      </w:r>
      <w:r>
        <w:rPr>
          <w:rFonts w:ascii="宋体" w:hAnsi="宋体" w:eastAsia="宋体" w:cs="宋体"/>
          <w:color w:val="000000"/>
        </w:rPr>
        <w:t>溶蚀，吸收</w:t>
      </w:r>
      <w:r>
        <w:rPr>
          <w:rFonts w:ascii="Times New Roman" w:hAnsi="Times New Roman" w:eastAsia="Times New Roman" w:cs="Times New Roman"/>
          <w:color w:val="000000"/>
        </w:rPr>
        <w:t>CO</w:t>
      </w:r>
      <w:r>
        <w:rPr>
          <w:color w:val="000000"/>
          <w:vertAlign w:val="subscript"/>
        </w:rPr>
        <w:t>2</w:t>
      </w:r>
    </w:p>
    <w:p w14:paraId="7D6E6A4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搬运，释放</w:t>
      </w:r>
      <w:r>
        <w:rPr>
          <w:rFonts w:ascii="Times New Roman" w:hAnsi="Times New Roman" w:eastAsia="Times New Roman" w:cs="Times New Roman"/>
          <w:color w:val="000000"/>
        </w:rPr>
        <w:t>CO</w:t>
      </w:r>
      <w:r>
        <w:rPr>
          <w:color w:val="000000"/>
          <w:vertAlign w:val="subscript"/>
        </w:rPr>
        <w:t>2</w:t>
      </w:r>
      <w:r>
        <w:rPr>
          <w:color w:val="000000"/>
        </w:rPr>
        <w:tab/>
      </w:r>
      <w:r>
        <w:rPr>
          <w:color w:val="000000"/>
        </w:rPr>
        <w:t xml:space="preserve">D. </w:t>
      </w:r>
      <w:r>
        <w:rPr>
          <w:rFonts w:ascii="宋体" w:hAnsi="宋体" w:eastAsia="宋体" w:cs="宋体"/>
          <w:color w:val="000000"/>
        </w:rPr>
        <w:t>沉积，吸收</w:t>
      </w:r>
      <w:r>
        <w:rPr>
          <w:rFonts w:ascii="Times New Roman" w:hAnsi="Times New Roman" w:eastAsia="Times New Roman" w:cs="Times New Roman"/>
          <w:color w:val="000000"/>
        </w:rPr>
        <w:t>CO</w:t>
      </w:r>
      <w:r>
        <w:rPr>
          <w:color w:val="000000"/>
          <w:vertAlign w:val="subscript"/>
        </w:rPr>
        <w:t>2</w:t>
      </w:r>
    </w:p>
    <w:p w14:paraId="32C53564">
      <w:pPr>
        <w:spacing w:line="360" w:lineRule="auto"/>
        <w:jc w:val="left"/>
        <w:textAlignment w:val="center"/>
        <w:rPr>
          <w:color w:val="000000"/>
        </w:rPr>
      </w:pPr>
      <w:r>
        <w:rPr>
          <w:color w:val="000000"/>
        </w:rPr>
        <w:t xml:space="preserve">8. </w:t>
      </w:r>
      <w:r>
        <w:rPr>
          <w:rFonts w:ascii="宋体" w:hAnsi="宋体" w:eastAsia="宋体" w:cs="宋体"/>
          <w:color w:val="000000"/>
        </w:rPr>
        <w:t>与钟乳石形成机制相同的是（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E4C5F8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珊瑚礁</w:t>
      </w:r>
      <w:r>
        <w:rPr>
          <w:color w:val="000000"/>
        </w:rPr>
        <w:tab/>
      </w:r>
      <w:r>
        <w:rPr>
          <w:color w:val="000000"/>
        </w:rPr>
        <w:t xml:space="preserve">B. </w:t>
      </w:r>
      <w:r>
        <w:rPr>
          <w:rFonts w:ascii="宋体" w:hAnsi="宋体" w:eastAsia="宋体" w:cs="宋体"/>
          <w:color w:val="000000"/>
        </w:rPr>
        <w:t>玄武岩</w:t>
      </w:r>
      <w:r>
        <w:rPr>
          <w:color w:val="000000"/>
        </w:rPr>
        <w:tab/>
      </w:r>
      <w:r>
        <w:rPr>
          <w:color w:val="000000"/>
        </w:rPr>
        <w:t xml:space="preserve">C. </w:t>
      </w:r>
      <w:r>
        <w:rPr>
          <w:rFonts w:ascii="宋体" w:hAnsi="宋体" w:eastAsia="宋体" w:cs="宋体"/>
          <w:color w:val="000000"/>
        </w:rPr>
        <w:t>大理岩</w:t>
      </w:r>
      <w:r>
        <w:rPr>
          <w:color w:val="000000"/>
        </w:rPr>
        <w:tab/>
      </w:r>
      <w:r>
        <w:rPr>
          <w:color w:val="000000"/>
        </w:rPr>
        <w:t xml:space="preserve">D. </w:t>
      </w:r>
      <w:r>
        <w:rPr>
          <w:rFonts w:ascii="宋体" w:hAnsi="宋体" w:eastAsia="宋体" w:cs="宋体"/>
          <w:color w:val="000000"/>
        </w:rPr>
        <w:t>生物化石</w:t>
      </w:r>
    </w:p>
    <w:p w14:paraId="138F5825">
      <w:pPr>
        <w:spacing w:line="360" w:lineRule="auto"/>
        <w:textAlignment w:val="center"/>
        <w:rPr>
          <w:color w:val="000000"/>
        </w:rPr>
      </w:pPr>
      <w:r>
        <w:rPr>
          <w:color w:val="2E75B6"/>
        </w:rPr>
        <w:t>【答案】</w:t>
      </w:r>
      <w:r>
        <w:rPr>
          <w:color w:val="000000"/>
        </w:rPr>
        <w:t>7. B    8. A</w:t>
      </w:r>
    </w:p>
    <w:p w14:paraId="665E1235">
      <w:pPr>
        <w:spacing w:line="360" w:lineRule="auto"/>
        <w:textAlignment w:val="center"/>
        <w:rPr>
          <w:color w:val="000000"/>
        </w:rPr>
      </w:pPr>
      <w:r>
        <w:rPr>
          <w:color w:val="2E75B6"/>
        </w:rPr>
        <w:t>【解析】</w:t>
      </w:r>
    </w:p>
    <w:p w14:paraId="69D8D75E">
      <w:pPr>
        <w:spacing w:line="360" w:lineRule="auto"/>
        <w:textAlignment w:val="center"/>
        <w:rPr>
          <w:color w:val="000000"/>
        </w:rPr>
      </w:pPr>
      <w:r>
        <w:rPr>
          <w:color w:val="000000"/>
        </w:rPr>
        <w:t>【7题详解】</w:t>
      </w:r>
    </w:p>
    <w:p w14:paraId="51A6CCAE">
      <w:pPr>
        <w:spacing w:line="360" w:lineRule="auto"/>
        <w:jc w:val="left"/>
        <w:textAlignment w:val="center"/>
        <w:rPr>
          <w:color w:val="000000"/>
        </w:rPr>
      </w:pPr>
      <w:r>
        <w:rPr>
          <w:color w:val="000000"/>
        </w:rPr>
        <w:t>根据材料可知，岩溶作用化学方程式为CaCO₃+CO₂+H₂O=Ca（HCO₃）₂。喀斯特洞穴是可溶性岩石在含有CO</w:t>
      </w:r>
      <w:r>
        <w:rPr>
          <w:color w:val="000000"/>
          <w:vertAlign w:val="subscript"/>
        </w:rPr>
        <w:t>2</w:t>
      </w:r>
      <w:r>
        <w:rPr>
          <w:color w:val="000000"/>
        </w:rPr>
        <w:t>的水的溶蚀作用下形成的。从化学方程式可知，该过程中CO</w:t>
      </w:r>
      <w:r>
        <w:rPr>
          <w:color w:val="000000"/>
          <w:vertAlign w:val="subscript"/>
        </w:rPr>
        <w:t>2</w:t>
      </w:r>
      <w:r>
        <w:rPr>
          <w:color w:val="000000"/>
        </w:rPr>
        <w:t>参与反应被吸收，溶蚀作用使岩石逐渐溶解形成洞穴，B正确；风化作用主要是使岩石破碎等物理变化，搬运作用是指将风化、侵蚀的产物移动的过程，沉积作用是物质堆积的过程，都不会释放或吸收CO</w:t>
      </w:r>
      <w:r>
        <w:rPr>
          <w:color w:val="000000"/>
          <w:vertAlign w:val="subscript"/>
        </w:rPr>
        <w:t>2</w:t>
      </w:r>
      <w:r>
        <w:rPr>
          <w:color w:val="000000"/>
        </w:rPr>
        <w:t>，排除ACD。故选B。</w:t>
      </w:r>
    </w:p>
    <w:p w14:paraId="29709430">
      <w:pPr>
        <w:spacing w:line="360" w:lineRule="auto"/>
        <w:jc w:val="left"/>
        <w:textAlignment w:val="center"/>
        <w:rPr>
          <w:color w:val="000000"/>
        </w:rPr>
      </w:pPr>
      <w:r>
        <w:rPr>
          <w:color w:val="000000"/>
        </w:rPr>
        <w:t>【8题详解】</w:t>
      </w:r>
    </w:p>
    <w:p w14:paraId="31CCE201">
      <w:pPr>
        <w:spacing w:line="360" w:lineRule="auto"/>
        <w:jc w:val="left"/>
        <w:textAlignment w:val="center"/>
        <w:rPr>
          <w:color w:val="000000"/>
        </w:rPr>
      </w:pPr>
      <w:r>
        <w:rPr>
          <w:color w:val="000000"/>
        </w:rPr>
        <w:t>钟乳石是在喀斯特地貌的溶洞中，富含碳酸氢钙Ca（HCO₃）₂的水由溶洞洞顶渗出，由于压力减小或温度升高，CO</w:t>
      </w:r>
      <w:r>
        <w:rPr>
          <w:color w:val="000000"/>
          <w:vertAlign w:val="subscript"/>
        </w:rPr>
        <w:t>2</w:t>
      </w:r>
      <w:r>
        <w:rPr>
          <w:color w:val="000000"/>
        </w:rPr>
        <w:t>溢出，碳酸钙（CaCO</w:t>
      </w:r>
      <w:r>
        <w:rPr>
          <w:color w:val="000000"/>
          <w:vertAlign w:val="subscript"/>
        </w:rPr>
        <w:t>3）</w:t>
      </w:r>
      <w:r>
        <w:rPr>
          <w:color w:val="000000"/>
        </w:rPr>
        <w:t>沉淀出来形成石钟乳。珊瑚礁是由珊瑚虫的遗骸堆积形成，珊瑚虫分泌碳酸钙形成外壳，大量珊瑚虫外壳堆积形成珊瑚礁，也是碳酸钙的沉积过程，与钟乳石形成机制相同，A正确；玄武岩是岩浆喷出地表冷却凝固形成的岩浆岩，大理岩是石灰岩在高温高压下变质形成的变质岩，生物化石是生物遗体或遗迹被掩埋后经过漫长地质作用形成的，均与钟乳石形成机制差异较大，排除BCD。故选A。</w:t>
      </w:r>
    </w:p>
    <w:p w14:paraId="39ECBB8D">
      <w:pPr>
        <w:spacing w:line="360" w:lineRule="auto"/>
        <w:jc w:val="left"/>
        <w:textAlignment w:val="center"/>
        <w:rPr>
          <w:color w:val="000000"/>
        </w:rPr>
      </w:pPr>
      <w:r>
        <w:rPr>
          <w:color w:val="000000"/>
        </w:rPr>
        <w:t>【点睛】喀斯特地貌形成为可溶性岩石分布地区地下水长期溶蚀的结果。这种现象在南欧亚德利亚海岸的喀斯特高原上最为典型，所以常把石灰岩地区的这种地形笼统地称之喀斯特地貌。</w:t>
      </w:r>
    </w:p>
    <w:p w14:paraId="2D145675">
      <w:pPr>
        <w:spacing w:line="360" w:lineRule="auto"/>
        <w:ind w:firstLine="420"/>
        <w:jc w:val="left"/>
        <w:textAlignment w:val="center"/>
        <w:rPr>
          <w:color w:val="000000"/>
        </w:rPr>
      </w:pPr>
      <w:r>
        <w:rPr>
          <w:rFonts w:ascii="楷体" w:hAnsi="楷体" w:eastAsia="楷体" w:cs="楷体"/>
          <w:color w:val="000000"/>
        </w:rPr>
        <w:t>我国某都市圈</w:t>
      </w:r>
      <w:r>
        <w:rPr>
          <w:rFonts w:ascii="Times New Roman" w:hAnsi="Times New Roman" w:eastAsia="Times New Roman" w:cs="Times New Roman"/>
          <w:color w:val="000000"/>
        </w:rPr>
        <w:t>2020</w:t>
      </w:r>
      <w:r>
        <w:rPr>
          <w:rFonts w:ascii="楷体" w:hAnsi="楷体" w:eastAsia="楷体" w:cs="楷体"/>
          <w:color w:val="000000"/>
        </w:rPr>
        <w:t>年</w:t>
      </w:r>
      <w:r>
        <w:rPr>
          <w:rFonts w:ascii="Times New Roman" w:hAnsi="Times New Roman" w:eastAsia="Times New Roman" w:cs="Times New Roman"/>
          <w:color w:val="000000"/>
        </w:rPr>
        <w:t>0~14</w:t>
      </w:r>
      <w:r>
        <w:rPr>
          <w:rFonts w:ascii="楷体" w:hAnsi="楷体" w:eastAsia="楷体" w:cs="楷体"/>
          <w:color w:val="000000"/>
        </w:rPr>
        <w:t>岁、</w:t>
      </w:r>
      <w:r>
        <w:rPr>
          <w:rFonts w:ascii="Times New Roman" w:hAnsi="Times New Roman" w:eastAsia="Times New Roman" w:cs="Times New Roman"/>
          <w:color w:val="000000"/>
        </w:rPr>
        <w:t>15~64</w:t>
      </w:r>
      <w:r>
        <w:rPr>
          <w:rFonts w:ascii="楷体" w:hAnsi="楷体" w:eastAsia="楷体" w:cs="楷体"/>
          <w:color w:val="000000"/>
        </w:rPr>
        <w:t>岁和</w:t>
      </w:r>
      <w:r>
        <w:rPr>
          <w:rFonts w:ascii="Times New Roman" w:hAnsi="Times New Roman" w:eastAsia="Times New Roman" w:cs="Times New Roman"/>
          <w:color w:val="000000"/>
        </w:rPr>
        <w:t>65</w:t>
      </w:r>
      <w:r>
        <w:rPr>
          <w:rFonts w:ascii="楷体" w:hAnsi="楷体" w:eastAsia="楷体" w:cs="楷体"/>
          <w:color w:val="000000"/>
        </w:rPr>
        <w:t>岁及以上各年龄段人口比重分别比全国平均水平低</w:t>
      </w:r>
      <w:r>
        <w:rPr>
          <w:rFonts w:ascii="Times New Roman" w:hAnsi="Times New Roman" w:eastAsia="Times New Roman" w:cs="Times New Roman"/>
          <w:color w:val="000000"/>
        </w:rPr>
        <w:t>6.33</w:t>
      </w:r>
      <w:r>
        <w:rPr>
          <w:rFonts w:ascii="楷体" w:hAnsi="楷体" w:eastAsia="楷体" w:cs="楷体"/>
          <w:color w:val="000000"/>
        </w:rPr>
        <w:t>、高</w:t>
      </w:r>
      <w:r>
        <w:rPr>
          <w:rFonts w:ascii="Times New Roman" w:hAnsi="Times New Roman" w:eastAsia="Times New Roman" w:cs="Times New Roman"/>
          <w:color w:val="000000"/>
        </w:rPr>
        <w:t>4.42</w:t>
      </w:r>
      <w:r>
        <w:rPr>
          <w:rFonts w:ascii="楷体" w:hAnsi="楷体" w:eastAsia="楷体" w:cs="楷体"/>
          <w:color w:val="000000"/>
        </w:rPr>
        <w:t>、高</w:t>
      </w:r>
      <w:r>
        <w:rPr>
          <w:rFonts w:ascii="Times New Roman" w:hAnsi="Times New Roman" w:eastAsia="Times New Roman" w:cs="Times New Roman"/>
          <w:color w:val="000000"/>
        </w:rPr>
        <w:t>1.91</w:t>
      </w:r>
      <w:r>
        <w:rPr>
          <w:rFonts w:ascii="楷体" w:hAnsi="楷体" w:eastAsia="楷体" w:cs="楷体"/>
          <w:color w:val="000000"/>
        </w:rPr>
        <w:t>个百分点。下图为该都市圈</w:t>
      </w:r>
      <w:r>
        <w:rPr>
          <w:rFonts w:ascii="Times New Roman" w:hAnsi="Times New Roman" w:eastAsia="Times New Roman" w:cs="Times New Roman"/>
          <w:color w:val="000000"/>
        </w:rPr>
        <w:t>2000</w:t>
      </w:r>
      <w:r>
        <w:rPr>
          <w:rFonts w:ascii="楷体" w:hAnsi="楷体" w:eastAsia="楷体" w:cs="楷体"/>
          <w:color w:val="000000"/>
        </w:rPr>
        <w:t>年、</w:t>
      </w:r>
      <w:r>
        <w:rPr>
          <w:rFonts w:ascii="Times New Roman" w:hAnsi="Times New Roman" w:eastAsia="Times New Roman" w:cs="Times New Roman"/>
          <w:color w:val="000000"/>
        </w:rPr>
        <w:t>2010</w:t>
      </w:r>
      <w:r>
        <w:rPr>
          <w:rFonts w:ascii="楷体" w:hAnsi="楷体" w:eastAsia="楷体" w:cs="楷体"/>
          <w:color w:val="000000"/>
        </w:rPr>
        <w:t>年和</w:t>
      </w:r>
      <w:r>
        <w:rPr>
          <w:rFonts w:ascii="Times New Roman" w:hAnsi="Times New Roman" w:eastAsia="Times New Roman" w:cs="Times New Roman"/>
          <w:color w:val="000000"/>
        </w:rPr>
        <w:t>2020</w:t>
      </w:r>
      <w:r>
        <w:rPr>
          <w:rFonts w:ascii="楷体" w:hAnsi="楷体" w:eastAsia="楷体" w:cs="楷体"/>
          <w:color w:val="000000"/>
        </w:rPr>
        <w:t>年人口密度随圈层变化图。完成下面小题。</w:t>
      </w:r>
    </w:p>
    <w:p w14:paraId="5B7EA168">
      <w:pPr>
        <w:spacing w:line="360" w:lineRule="auto"/>
        <w:jc w:val="left"/>
        <w:textAlignment w:val="center"/>
        <w:rPr>
          <w:color w:val="000000"/>
        </w:rPr>
      </w:pPr>
      <w:r>
        <w:rPr>
          <w:color w:val="000000"/>
        </w:rPr>
        <w:drawing>
          <wp:inline distT="0" distB="0" distL="114300" distR="114300">
            <wp:extent cx="4219575" cy="2571750"/>
            <wp:effectExtent l="0" t="0" r="9525" b="0"/>
            <wp:docPr id="100007" name="图片 10000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dOIRD7MIOSHNAx1ODbqMbQ=="/>
                    <pic:cNvPicPr>
                      <a:picLocks noChangeAspect="1"/>
                    </pic:cNvPicPr>
                  </pic:nvPicPr>
                  <pic:blipFill>
                    <a:blip r:embed="rId10"/>
                    <a:stretch>
                      <a:fillRect/>
                    </a:stretch>
                  </pic:blipFill>
                  <pic:spPr>
                    <a:xfrm>
                      <a:off x="0" y="0"/>
                      <a:ext cx="4219575" cy="2571750"/>
                    </a:xfrm>
                    <a:prstGeom prst="rect">
                      <a:avLst/>
                    </a:prstGeom>
                  </pic:spPr>
                </pic:pic>
              </a:graphicData>
            </a:graphic>
          </wp:inline>
        </w:drawing>
      </w:r>
    </w:p>
    <w:p w14:paraId="6ABEC94A">
      <w:pPr>
        <w:spacing w:line="360" w:lineRule="auto"/>
        <w:jc w:val="left"/>
        <w:textAlignment w:val="center"/>
        <w:rPr>
          <w:color w:val="000000"/>
        </w:rPr>
      </w:pPr>
      <w:r>
        <w:rPr>
          <w:color w:val="000000"/>
        </w:rPr>
        <w:t xml:space="preserve">9. </w:t>
      </w:r>
      <w:r>
        <w:rPr>
          <w:rFonts w:ascii="Times New Roman" w:hAnsi="Times New Roman" w:eastAsia="Times New Roman" w:cs="Times New Roman"/>
          <w:color w:val="000000"/>
        </w:rPr>
        <w:t>20</w:t>
      </w:r>
      <w:r>
        <w:rPr>
          <w:rFonts w:ascii="宋体" w:hAnsi="宋体" w:eastAsia="宋体" w:cs="宋体"/>
          <w:color w:val="000000"/>
        </w:rPr>
        <w:t>年来，该都市圈人口增长主要来自（</w:t>
      </w:r>
      <w:r>
        <w:rPr>
          <w:rFonts w:ascii="Times New Roman" w:hAnsi="Times New Roman" w:eastAsia="Times New Roman" w:cs="Times New Roman"/>
          <w:color w:val="000000"/>
        </w:rPr>
        <w:t xml:space="preserve">   </w:t>
      </w:r>
      <w:r>
        <w:rPr>
          <w:rFonts w:ascii="宋体" w:hAnsi="宋体" w:eastAsia="宋体" w:cs="宋体"/>
          <w:color w:val="000000"/>
        </w:rPr>
        <w:t>）</w:t>
      </w:r>
    </w:p>
    <w:p w14:paraId="0244B9A2">
      <w:pPr>
        <w:spacing w:line="360" w:lineRule="auto"/>
        <w:jc w:val="left"/>
        <w:textAlignment w:val="center"/>
        <w:rPr>
          <w:color w:val="000000"/>
        </w:rPr>
      </w:pPr>
      <w:r>
        <w:rPr>
          <w:rFonts w:ascii="宋体" w:hAnsi="宋体" w:eastAsia="宋体" w:cs="宋体"/>
          <w:color w:val="000000"/>
        </w:rPr>
        <w:t>①劳动年龄人口②老年人③政策性人口集聚④自发性人口集聚</w:t>
      </w:r>
    </w:p>
    <w:p w14:paraId="3490AE0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159381F8">
      <w:pPr>
        <w:spacing w:line="360" w:lineRule="auto"/>
        <w:jc w:val="left"/>
        <w:textAlignment w:val="center"/>
        <w:rPr>
          <w:color w:val="000000"/>
        </w:rPr>
      </w:pPr>
      <w:r>
        <w:rPr>
          <w:color w:val="000000"/>
        </w:rPr>
        <w:t xml:space="preserve">10. </w:t>
      </w:r>
      <w:r>
        <w:rPr>
          <w:rFonts w:ascii="Times New Roman" w:hAnsi="Times New Roman" w:eastAsia="Times New Roman" w:cs="Times New Roman"/>
          <w:color w:val="000000"/>
        </w:rPr>
        <w:t>20</w:t>
      </w:r>
      <w:r>
        <w:rPr>
          <w:rFonts w:ascii="宋体" w:hAnsi="宋体" w:eastAsia="宋体" w:cs="宋体"/>
          <w:color w:val="000000"/>
        </w:rPr>
        <w:t>年来，该都市圈</w:t>
      </w:r>
      <w:r>
        <w:rPr>
          <w:rFonts w:ascii="Times New Roman" w:hAnsi="Times New Roman" w:eastAsia="Times New Roman" w:cs="Times New Roman"/>
          <w:color w:val="000000"/>
        </w:rPr>
        <w:t>0~50</w:t>
      </w:r>
      <w:r>
        <w:rPr>
          <w:rFonts w:ascii="宋体" w:hAnsi="宋体" w:eastAsia="宋体" w:cs="宋体"/>
          <w:color w:val="000000"/>
        </w:rPr>
        <w:t>千米范围内人口密度增长迅速，反映出（</w:t>
      </w:r>
      <w:r>
        <w:rPr>
          <w:rFonts w:ascii="Times New Roman" w:hAnsi="Times New Roman" w:eastAsia="Times New Roman" w:cs="Times New Roman"/>
          <w:color w:val="000000"/>
        </w:rPr>
        <w:t xml:space="preserve">   </w:t>
      </w:r>
      <w:r>
        <w:rPr>
          <w:rFonts w:ascii="宋体" w:hAnsi="宋体" w:eastAsia="宋体" w:cs="宋体"/>
          <w:color w:val="000000"/>
        </w:rPr>
        <w:t>）</w:t>
      </w:r>
    </w:p>
    <w:p w14:paraId="799A244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人均居住用地扩大</w:t>
      </w:r>
      <w:r>
        <w:rPr>
          <w:color w:val="000000"/>
        </w:rPr>
        <w:tab/>
      </w:r>
      <w:r>
        <w:rPr>
          <w:color w:val="000000"/>
        </w:rPr>
        <w:t xml:space="preserve">B. </w:t>
      </w:r>
      <w:r>
        <w:rPr>
          <w:rFonts w:ascii="宋体" w:hAnsi="宋体" w:eastAsia="宋体" w:cs="宋体"/>
          <w:color w:val="000000"/>
        </w:rPr>
        <w:t>土地人口承载力提高</w:t>
      </w:r>
    </w:p>
    <w:p w14:paraId="645D433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生态环境质量较优</w:t>
      </w:r>
      <w:r>
        <w:rPr>
          <w:color w:val="000000"/>
        </w:rPr>
        <w:tab/>
      </w:r>
      <w:r>
        <w:rPr>
          <w:color w:val="000000"/>
        </w:rPr>
        <w:t xml:space="preserve">D. </w:t>
      </w:r>
      <w:r>
        <w:rPr>
          <w:rFonts w:ascii="宋体" w:hAnsi="宋体" w:eastAsia="宋体" w:cs="宋体"/>
          <w:color w:val="000000"/>
        </w:rPr>
        <w:t>公共服务集聚效应强</w:t>
      </w:r>
    </w:p>
    <w:p w14:paraId="30CD5FAB">
      <w:pPr>
        <w:spacing w:line="360" w:lineRule="auto"/>
        <w:jc w:val="left"/>
        <w:textAlignment w:val="center"/>
        <w:rPr>
          <w:color w:val="000000"/>
        </w:rPr>
      </w:pPr>
      <w:r>
        <w:rPr>
          <w:color w:val="000000"/>
        </w:rPr>
        <w:t xml:space="preserve">11. </w:t>
      </w:r>
      <w:r>
        <w:rPr>
          <w:rFonts w:ascii="宋体" w:hAnsi="宋体" w:eastAsia="宋体" w:cs="宋体"/>
          <w:color w:val="000000"/>
        </w:rPr>
        <w:t>该都市核心圈交通布局形态为</w:t>
      </w:r>
      <w:r>
        <w:rPr>
          <w:rFonts w:ascii="Times New Roman" w:hAnsi="Times New Roman" w:eastAsia="Times New Roman" w:cs="Times New Roman"/>
          <w:color w:val="000000"/>
        </w:rPr>
        <w:t>“</w:t>
      </w:r>
      <w:r>
        <w:rPr>
          <w:rFonts w:ascii="宋体" w:hAnsi="宋体" w:eastAsia="宋体" w:cs="宋体"/>
          <w:color w:val="000000"/>
        </w:rPr>
        <w:t>环形十放射状</w:t>
      </w:r>
      <w:r>
        <w:rPr>
          <w:rFonts w:ascii="Times New Roman" w:hAnsi="Times New Roman" w:eastAsia="Times New Roman" w:cs="Times New Roman"/>
          <w:color w:val="000000"/>
        </w:rPr>
        <w:t>”</w:t>
      </w:r>
      <w:r>
        <w:rPr>
          <w:rFonts w:ascii="宋体" w:hAnsi="宋体" w:eastAsia="宋体" w:cs="宋体"/>
          <w:color w:val="000000"/>
        </w:rPr>
        <w:t>的主要目的是（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6700D1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引导人口向交通沿线分布</w:t>
      </w:r>
      <w:r>
        <w:rPr>
          <w:color w:val="000000"/>
        </w:rPr>
        <w:tab/>
      </w:r>
      <w:r>
        <w:rPr>
          <w:color w:val="000000"/>
        </w:rPr>
        <w:t xml:space="preserve">B. </w:t>
      </w:r>
      <w:r>
        <w:rPr>
          <w:rFonts w:ascii="宋体" w:hAnsi="宋体" w:eastAsia="宋体" w:cs="宋体"/>
          <w:color w:val="000000"/>
        </w:rPr>
        <w:t>促进物流功能向市郊聚集</w:t>
      </w:r>
    </w:p>
    <w:p w14:paraId="0E92496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吸引服务业沿交通线布局</w:t>
      </w:r>
      <w:r>
        <w:rPr>
          <w:color w:val="000000"/>
        </w:rPr>
        <w:tab/>
      </w:r>
      <w:r>
        <w:rPr>
          <w:color w:val="000000"/>
        </w:rPr>
        <w:t xml:space="preserve">D. </w:t>
      </w:r>
      <w:r>
        <w:rPr>
          <w:rFonts w:ascii="宋体" w:hAnsi="宋体" w:eastAsia="宋体" w:cs="宋体"/>
          <w:color w:val="000000"/>
        </w:rPr>
        <w:t>构建方便快捷的通勤网络</w:t>
      </w:r>
    </w:p>
    <w:p w14:paraId="065A712C">
      <w:pPr>
        <w:spacing w:line="360" w:lineRule="auto"/>
        <w:textAlignment w:val="center"/>
        <w:rPr>
          <w:color w:val="000000"/>
        </w:rPr>
      </w:pPr>
      <w:r>
        <w:rPr>
          <w:color w:val="2E75B6"/>
        </w:rPr>
        <w:t>【答案】</w:t>
      </w:r>
      <w:r>
        <w:rPr>
          <w:color w:val="000000"/>
        </w:rPr>
        <w:t>9. B    10. D    11. D</w:t>
      </w:r>
    </w:p>
    <w:p w14:paraId="518F272B">
      <w:pPr>
        <w:spacing w:line="360" w:lineRule="auto"/>
        <w:textAlignment w:val="center"/>
        <w:rPr>
          <w:color w:val="000000"/>
        </w:rPr>
      </w:pPr>
      <w:r>
        <w:rPr>
          <w:color w:val="2E75B6"/>
        </w:rPr>
        <w:t>【解析】</w:t>
      </w:r>
    </w:p>
    <w:p w14:paraId="51099B70">
      <w:pPr>
        <w:spacing w:line="360" w:lineRule="auto"/>
        <w:textAlignment w:val="center"/>
        <w:rPr>
          <w:color w:val="000000"/>
        </w:rPr>
      </w:pPr>
      <w:r>
        <w:rPr>
          <w:color w:val="000000"/>
        </w:rPr>
        <w:t>【9题详解】</w:t>
      </w:r>
    </w:p>
    <w:p w14:paraId="63C135A8">
      <w:pPr>
        <w:spacing w:line="360" w:lineRule="auto"/>
        <w:jc w:val="left"/>
        <w:textAlignment w:val="center"/>
        <w:rPr>
          <w:color w:val="000000"/>
        </w:rPr>
      </w:pPr>
      <w:r>
        <w:rPr>
          <w:color w:val="000000"/>
        </w:rPr>
        <w:t>根据材料可知，该都市圈2020年0 - 14岁比全国平均水平低6.33个百分点，15 - 64岁高4.42个百分点，65岁及以上高1.91个百分点。  15 - 64岁为劳动年龄人口，其比重高于全国平均水平，说明劳动年龄人口增长，所以该都市圈人口增长有来自劳动年龄人口，①正确；老年人口多为本地人口，老年人口增多对该都市圈20年来人口增长影响不大，②错误；从我国大都市圈发展规律看，这种迁入主要是市场驱动的自发性流动，并不是</w:t>
      </w:r>
      <w:r>
        <w:rPr>
          <w:rFonts w:ascii="宋体" w:hAnsi="宋体" w:eastAsia="宋体" w:cs="宋体"/>
          <w:color w:val="000000"/>
        </w:rPr>
        <w:t>政策性人口集聚，</w:t>
      </w:r>
      <w:r>
        <w:rPr>
          <w:color w:val="000000"/>
        </w:rPr>
        <w:t>③错误；都市圈因经济发展水平较高，就业机会多，会吸引大量劳动力自发流入，以寻求更好的发展机会，所以自发性人口集聚可能是人口增长原因之一，④正确。综上所述，B正确，排除ACD。故选B。</w:t>
      </w:r>
    </w:p>
    <w:p w14:paraId="353E4327">
      <w:pPr>
        <w:spacing w:line="360" w:lineRule="auto"/>
        <w:jc w:val="left"/>
        <w:textAlignment w:val="center"/>
        <w:rPr>
          <w:color w:val="000000"/>
        </w:rPr>
      </w:pPr>
      <w:r>
        <w:rPr>
          <w:color w:val="000000"/>
        </w:rPr>
        <w:t>【10题详解】</w:t>
      </w:r>
    </w:p>
    <w:p w14:paraId="3AA950E7">
      <w:pPr>
        <w:spacing w:line="360" w:lineRule="auto"/>
        <w:jc w:val="left"/>
        <w:textAlignment w:val="center"/>
        <w:rPr>
          <w:color w:val="000000"/>
        </w:rPr>
      </w:pPr>
      <w:r>
        <w:rPr>
          <w:color w:val="000000"/>
        </w:rPr>
        <w:t>在都市圈中，0 - 50千米范围内往往是城市核心区域附近，公共服务如教育、医疗、商业等资源集中，会吸引大量人口集聚，导致人口密度增长迅速，D正确；人口密度增长迅速，一般意味着单位面积内人口增多，与人均居住用地扩大相悖，A错误；土地人口承载力主要受资源、科技等多种因素影响，仅从人口密度增长迅速不能直接得出土地人口承载力提高，B错误；材料中没有关于该都市圈生态环境质量的相关表述，无法得出该结论，C错误。故选D。</w:t>
      </w:r>
    </w:p>
    <w:p w14:paraId="189E114B">
      <w:pPr>
        <w:spacing w:line="360" w:lineRule="auto"/>
        <w:jc w:val="left"/>
        <w:textAlignment w:val="center"/>
        <w:rPr>
          <w:color w:val="000000"/>
        </w:rPr>
      </w:pPr>
      <w:r>
        <w:rPr>
          <w:color w:val="000000"/>
        </w:rPr>
        <w:t>【11题详解】</w:t>
      </w:r>
    </w:p>
    <w:p w14:paraId="48CF6050">
      <w:pPr>
        <w:spacing w:line="360" w:lineRule="auto"/>
        <w:jc w:val="left"/>
        <w:textAlignment w:val="center"/>
        <w:rPr>
          <w:color w:val="000000"/>
        </w:rPr>
      </w:pPr>
      <w:r>
        <w:rPr>
          <w:color w:val="000000"/>
        </w:rPr>
        <w:t>“环形 + 放射状”的交通布局可以使城市各个区域之间联系更便捷，便于人们在城市不同区域工作和生活之间的通勤，构建方便快捷的通勤网络，D正确；交通布局主要目的不是单纯引导人口向交通沿线分布，而是为了满足人们的出行等需求，A错误；“环形 + 放射状”交通布局主要是为了城市内部及对外联系便捷，并非单纯促进物流功能向市郊聚集，B错误；虽然交通便利会对服务业布局有影响，但这不是交通布局的主要目的，C错误。故选D。</w:t>
      </w:r>
    </w:p>
    <w:p w14:paraId="61AE7B12">
      <w:pPr>
        <w:spacing w:line="360" w:lineRule="auto"/>
        <w:jc w:val="left"/>
        <w:textAlignment w:val="center"/>
        <w:rPr>
          <w:color w:val="000000"/>
        </w:rPr>
      </w:pPr>
      <w:r>
        <w:rPr>
          <w:color w:val="000000"/>
        </w:rPr>
        <w:t>【点睛】影响人口分布的主要因素有自然因素和社会因素。地球上的人口分布是人类改造、利用自然，与自然界发生联系和相互作用的产物，人口的分布受自然条件和自然资源的强烈制约，气候适宜、土壤肥沃、资源丰富、交通便利的地区往往成为人口密集地区。尽管自然条件是人类赖以生存的基础，人口的分布或多或少打上自然因素的烙印，但是，自然界只是为地球上的人口分布提供了可能性，社会生产方式才是实现这种可能性的决定性因素。</w:t>
      </w:r>
    </w:p>
    <w:p w14:paraId="36637B17">
      <w:pPr>
        <w:spacing w:line="360" w:lineRule="auto"/>
        <w:ind w:firstLine="420"/>
        <w:jc w:val="left"/>
        <w:textAlignment w:val="center"/>
        <w:rPr>
          <w:color w:val="000000"/>
        </w:rPr>
      </w:pPr>
      <w:r>
        <w:rPr>
          <w:rFonts w:ascii="楷体" w:hAnsi="楷体" w:eastAsia="楷体" w:cs="楷体"/>
          <w:color w:val="000000"/>
        </w:rPr>
        <w:t>北京时间</w:t>
      </w:r>
      <w:r>
        <w:rPr>
          <w:rFonts w:ascii="Times New Roman" w:hAnsi="Times New Roman" w:eastAsia="Times New Roman" w:cs="Times New Roman"/>
          <w:color w:val="000000"/>
        </w:rPr>
        <w:t>2024</w:t>
      </w:r>
      <w:r>
        <w:rPr>
          <w:rFonts w:ascii="楷体" w:hAnsi="楷体" w:eastAsia="楷体" w:cs="楷体"/>
          <w:color w:val="000000"/>
        </w:rPr>
        <w:t>年</w:t>
      </w:r>
      <w:r>
        <w:rPr>
          <w:rFonts w:ascii="Times New Roman" w:hAnsi="Times New Roman" w:eastAsia="Times New Roman" w:cs="Times New Roman"/>
          <w:color w:val="000000"/>
        </w:rPr>
        <w:t>11</w:t>
      </w:r>
      <w:r>
        <w:rPr>
          <w:rFonts w:ascii="楷体" w:hAnsi="楷体" w:eastAsia="楷体" w:cs="楷体"/>
          <w:color w:val="000000"/>
        </w:rPr>
        <w:t>月</w:t>
      </w:r>
      <w:r>
        <w:rPr>
          <w:rFonts w:ascii="Times New Roman" w:hAnsi="Times New Roman" w:eastAsia="Times New Roman" w:cs="Times New Roman"/>
          <w:color w:val="000000"/>
        </w:rPr>
        <w:t>11</w:t>
      </w:r>
      <w:r>
        <w:rPr>
          <w:rFonts w:ascii="楷体" w:hAnsi="楷体" w:eastAsia="楷体" w:cs="楷体"/>
          <w:color w:val="000000"/>
        </w:rPr>
        <w:t>日</w:t>
      </w:r>
      <w:r>
        <w:rPr>
          <w:rFonts w:ascii="Times New Roman" w:hAnsi="Times New Roman" w:eastAsia="Times New Roman" w:cs="Times New Roman"/>
          <w:color w:val="000000"/>
        </w:rPr>
        <w:t>0</w:t>
      </w:r>
      <w:r>
        <w:rPr>
          <w:rFonts w:ascii="楷体" w:hAnsi="楷体" w:eastAsia="楷体" w:cs="楷体"/>
          <w:color w:val="000000"/>
        </w:rPr>
        <w:t>时</w:t>
      </w:r>
      <w:r>
        <w:rPr>
          <w:rFonts w:ascii="Times New Roman" w:hAnsi="Times New Roman" w:eastAsia="Times New Roman" w:cs="Times New Roman"/>
          <w:color w:val="000000"/>
        </w:rPr>
        <w:t>49</w:t>
      </w:r>
      <w:r>
        <w:rPr>
          <w:rFonts w:ascii="楷体" w:hAnsi="楷体" w:eastAsia="楷体" w:cs="楷体"/>
          <w:color w:val="000000"/>
        </w:rPr>
        <w:t>分，古巴南部海域（</w:t>
      </w:r>
      <w:r>
        <w:rPr>
          <w:rFonts w:ascii="Times New Roman" w:hAnsi="Times New Roman" w:eastAsia="Times New Roman" w:cs="Times New Roman"/>
          <w:color w:val="000000"/>
        </w:rPr>
        <w:t>19.8°N</w:t>
      </w:r>
      <w:r>
        <w:rPr>
          <w:rFonts w:ascii="楷体" w:hAnsi="楷体" w:eastAsia="楷体" w:cs="楷体"/>
          <w:color w:val="000000"/>
        </w:rPr>
        <w:t>，</w:t>
      </w:r>
      <w:r>
        <w:rPr>
          <w:rFonts w:ascii="Times New Roman" w:hAnsi="Times New Roman" w:eastAsia="Times New Roman" w:cs="Times New Roman"/>
          <w:color w:val="000000"/>
        </w:rPr>
        <w:t>77.0°W</w:t>
      </w:r>
      <w:r>
        <w:rPr>
          <w:rFonts w:ascii="楷体" w:hAnsi="楷体" w:eastAsia="楷体" w:cs="楷体"/>
          <w:color w:val="000000"/>
        </w:rPr>
        <w:t>）发生</w:t>
      </w:r>
      <w:r>
        <w:rPr>
          <w:rFonts w:ascii="Times New Roman" w:hAnsi="Times New Roman" w:eastAsia="Times New Roman" w:cs="Times New Roman"/>
          <w:color w:val="000000"/>
        </w:rPr>
        <w:t>6.8</w:t>
      </w:r>
      <w:r>
        <w:rPr>
          <w:rFonts w:ascii="楷体" w:hAnsi="楷体" w:eastAsia="楷体" w:cs="楷体"/>
          <w:color w:val="000000"/>
        </w:rPr>
        <w:t>级地震，震源深度</w:t>
      </w:r>
      <w:r>
        <w:rPr>
          <w:rFonts w:ascii="Times New Roman" w:hAnsi="Times New Roman" w:eastAsia="Times New Roman" w:cs="Times New Roman"/>
          <w:color w:val="000000"/>
        </w:rPr>
        <w:t>20</w:t>
      </w:r>
      <w:r>
        <w:rPr>
          <w:rFonts w:ascii="楷体" w:hAnsi="楷体" w:eastAsia="楷体" w:cs="楷体"/>
          <w:color w:val="000000"/>
        </w:rPr>
        <w:t>千米。完成下面小题。</w:t>
      </w:r>
    </w:p>
    <w:p w14:paraId="5A189036">
      <w:pPr>
        <w:spacing w:line="360" w:lineRule="auto"/>
        <w:jc w:val="left"/>
        <w:textAlignment w:val="center"/>
        <w:rPr>
          <w:color w:val="000000"/>
        </w:rPr>
      </w:pPr>
      <w:r>
        <w:rPr>
          <w:color w:val="000000"/>
        </w:rPr>
        <w:drawing>
          <wp:inline distT="0" distB="0" distL="114300" distR="114300">
            <wp:extent cx="3581400" cy="2019300"/>
            <wp:effectExtent l="0" t="0" r="0" b="0"/>
            <wp:docPr id="100009" name="图片 10000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dOIRD7MIOSHNAx1ODbqMbQ=="/>
                    <pic:cNvPicPr>
                      <a:picLocks noChangeAspect="1"/>
                    </pic:cNvPicPr>
                  </pic:nvPicPr>
                  <pic:blipFill>
                    <a:blip r:embed="rId11"/>
                    <a:stretch>
                      <a:fillRect/>
                    </a:stretch>
                  </pic:blipFill>
                  <pic:spPr>
                    <a:xfrm>
                      <a:off x="0" y="0"/>
                      <a:ext cx="3581400" cy="2019300"/>
                    </a:xfrm>
                    <a:prstGeom prst="rect">
                      <a:avLst/>
                    </a:prstGeom>
                  </pic:spPr>
                </pic:pic>
              </a:graphicData>
            </a:graphic>
          </wp:inline>
        </w:drawing>
      </w:r>
    </w:p>
    <w:p w14:paraId="11B9E849">
      <w:pPr>
        <w:spacing w:line="360" w:lineRule="auto"/>
        <w:jc w:val="left"/>
        <w:textAlignment w:val="center"/>
        <w:rPr>
          <w:color w:val="000000"/>
        </w:rPr>
      </w:pPr>
      <w:r>
        <w:rPr>
          <w:color w:val="000000"/>
        </w:rPr>
        <w:t xml:space="preserve">12. </w:t>
      </w:r>
      <w:r>
        <w:rPr>
          <w:rFonts w:ascii="宋体" w:hAnsi="宋体" w:eastAsia="宋体" w:cs="宋体"/>
          <w:color w:val="000000"/>
        </w:rPr>
        <w:t>此次地震（</w:t>
      </w:r>
      <w:r>
        <w:rPr>
          <w:rFonts w:ascii="Times New Roman" w:hAnsi="Times New Roman" w:eastAsia="Times New Roman" w:cs="Times New Roman"/>
          <w:color w:val="000000"/>
        </w:rPr>
        <w:t xml:space="preserve">   </w:t>
      </w:r>
      <w:r>
        <w:rPr>
          <w:rFonts w:ascii="宋体" w:hAnsi="宋体" w:eastAsia="宋体" w:cs="宋体"/>
          <w:color w:val="000000"/>
        </w:rPr>
        <w:t>）</w:t>
      </w:r>
    </w:p>
    <w:p w14:paraId="537272B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震中位于大西洋中脊</w:t>
      </w:r>
      <w:r>
        <w:rPr>
          <w:color w:val="000000"/>
        </w:rPr>
        <w:tab/>
      </w:r>
      <w:r>
        <w:rPr>
          <w:color w:val="000000"/>
        </w:rPr>
        <w:t xml:space="preserve">B. </w:t>
      </w:r>
      <w:r>
        <w:rPr>
          <w:rFonts w:ascii="宋体" w:hAnsi="宋体" w:eastAsia="宋体" w:cs="宋体"/>
          <w:color w:val="000000"/>
        </w:rPr>
        <w:t>附近为板块消亡边界</w:t>
      </w:r>
    </w:p>
    <w:p w14:paraId="454BD8C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震源位于太平洋板块</w:t>
      </w:r>
      <w:r>
        <w:rPr>
          <w:color w:val="000000"/>
        </w:rPr>
        <w:tab/>
      </w:r>
      <w:r>
        <w:rPr>
          <w:color w:val="000000"/>
        </w:rPr>
        <w:t xml:space="preserve">D. </w:t>
      </w:r>
      <w:r>
        <w:rPr>
          <w:rFonts w:ascii="宋体" w:hAnsi="宋体" w:eastAsia="宋体" w:cs="宋体"/>
          <w:color w:val="000000"/>
        </w:rPr>
        <w:t>引发海啸危及哈瓦那</w:t>
      </w:r>
    </w:p>
    <w:p w14:paraId="18FD80F7">
      <w:pPr>
        <w:spacing w:line="360" w:lineRule="auto"/>
        <w:jc w:val="left"/>
        <w:textAlignment w:val="center"/>
        <w:rPr>
          <w:color w:val="000000"/>
        </w:rPr>
      </w:pPr>
      <w:r>
        <w:rPr>
          <w:color w:val="000000"/>
        </w:rPr>
        <w:t xml:space="preserve">13. </w:t>
      </w:r>
      <w:r>
        <w:rPr>
          <w:rFonts w:ascii="宋体" w:hAnsi="宋体" w:eastAsia="宋体" w:cs="宋体"/>
          <w:color w:val="000000"/>
        </w:rPr>
        <w:t>甲、乙、丙、丁四地海底岩石年龄最小的是（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A9DE44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w:t>
      </w:r>
      <w:r>
        <w:rPr>
          <w:color w:val="000000"/>
        </w:rPr>
        <w:tab/>
      </w:r>
      <w:r>
        <w:rPr>
          <w:color w:val="000000"/>
        </w:rPr>
        <w:t xml:space="preserve">B. </w:t>
      </w:r>
      <w:r>
        <w:rPr>
          <w:rFonts w:ascii="宋体" w:hAnsi="宋体" w:eastAsia="宋体" w:cs="宋体"/>
          <w:color w:val="000000"/>
        </w:rPr>
        <w:t>乙</w:t>
      </w:r>
      <w:r>
        <w:rPr>
          <w:color w:val="000000"/>
        </w:rPr>
        <w:tab/>
      </w:r>
      <w:r>
        <w:rPr>
          <w:color w:val="000000"/>
        </w:rPr>
        <w:t xml:space="preserve">C. </w:t>
      </w:r>
      <w:r>
        <w:rPr>
          <w:rFonts w:ascii="宋体" w:hAnsi="宋体" w:eastAsia="宋体" w:cs="宋体"/>
          <w:color w:val="000000"/>
        </w:rPr>
        <w:t>丙</w:t>
      </w:r>
      <w:r>
        <w:rPr>
          <w:color w:val="000000"/>
        </w:rPr>
        <w:tab/>
      </w:r>
      <w:r>
        <w:rPr>
          <w:color w:val="000000"/>
        </w:rPr>
        <w:t xml:space="preserve">D. </w:t>
      </w:r>
      <w:r>
        <w:rPr>
          <w:rFonts w:ascii="宋体" w:hAnsi="宋体" w:eastAsia="宋体" w:cs="宋体"/>
          <w:color w:val="000000"/>
        </w:rPr>
        <w:t>丁</w:t>
      </w:r>
    </w:p>
    <w:p w14:paraId="1D20F562">
      <w:pPr>
        <w:spacing w:line="360" w:lineRule="auto"/>
        <w:jc w:val="left"/>
        <w:textAlignment w:val="center"/>
        <w:rPr>
          <w:color w:val="000000"/>
        </w:rPr>
      </w:pPr>
      <w:r>
        <w:rPr>
          <w:color w:val="000000"/>
        </w:rPr>
        <w:t xml:space="preserve">14. </w:t>
      </w:r>
      <w:r>
        <w:rPr>
          <w:rFonts w:ascii="宋体" w:hAnsi="宋体" w:eastAsia="宋体" w:cs="宋体"/>
          <w:color w:val="000000"/>
        </w:rPr>
        <w:t>甲、乙、丙、丁四地表层海水性质比较，正确的是（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75B1DA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海水盐度：甲</w:t>
      </w:r>
      <w:r>
        <w:rPr>
          <w:rFonts w:ascii="Times New Roman" w:hAnsi="Times New Roman" w:eastAsia="Times New Roman" w:cs="Times New Roman"/>
          <w:color w:val="000000"/>
        </w:rPr>
        <w:t>&gt;</w:t>
      </w:r>
      <w:r>
        <w:rPr>
          <w:rFonts w:ascii="宋体" w:hAnsi="宋体" w:eastAsia="宋体" w:cs="宋体"/>
          <w:color w:val="000000"/>
        </w:rPr>
        <w:t>乙</w:t>
      </w:r>
      <w:r>
        <w:rPr>
          <w:color w:val="000000"/>
        </w:rPr>
        <w:tab/>
      </w:r>
      <w:r>
        <w:rPr>
          <w:color w:val="000000"/>
        </w:rPr>
        <w:t xml:space="preserve">B. </w:t>
      </w:r>
      <w:r>
        <w:rPr>
          <w:rFonts w:ascii="宋体" w:hAnsi="宋体" w:eastAsia="宋体" w:cs="宋体"/>
          <w:color w:val="000000"/>
        </w:rPr>
        <w:t>海水温度：甲</w:t>
      </w:r>
      <w:r>
        <w:rPr>
          <w:rFonts w:ascii="Times New Roman" w:hAnsi="Times New Roman" w:eastAsia="Times New Roman" w:cs="Times New Roman"/>
          <w:color w:val="000000"/>
        </w:rPr>
        <w:t>&gt;</w:t>
      </w:r>
      <w:r>
        <w:rPr>
          <w:rFonts w:ascii="宋体" w:hAnsi="宋体" w:eastAsia="宋体" w:cs="宋体"/>
          <w:color w:val="000000"/>
        </w:rPr>
        <w:t>乙</w:t>
      </w:r>
    </w:p>
    <w:p w14:paraId="3561267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海水盐度：乙</w:t>
      </w:r>
      <w:r>
        <w:rPr>
          <w:rFonts w:ascii="Times New Roman" w:hAnsi="Times New Roman" w:eastAsia="Times New Roman" w:cs="Times New Roman"/>
          <w:color w:val="000000"/>
        </w:rPr>
        <w:t>&gt;</w:t>
      </w:r>
      <w:r>
        <w:rPr>
          <w:rFonts w:ascii="宋体" w:hAnsi="宋体" w:eastAsia="宋体" w:cs="宋体"/>
          <w:color w:val="000000"/>
        </w:rPr>
        <w:t>丙</w:t>
      </w:r>
      <w:r>
        <w:rPr>
          <w:color w:val="000000"/>
        </w:rPr>
        <w:tab/>
      </w:r>
      <w:r>
        <w:rPr>
          <w:color w:val="000000"/>
        </w:rPr>
        <w:t xml:space="preserve">D. </w:t>
      </w:r>
      <w:r>
        <w:rPr>
          <w:rFonts w:ascii="宋体" w:hAnsi="宋体" w:eastAsia="宋体" w:cs="宋体"/>
          <w:color w:val="000000"/>
        </w:rPr>
        <w:t>海水密度：丙</w:t>
      </w:r>
      <w:r>
        <w:rPr>
          <w:rFonts w:ascii="Times New Roman" w:hAnsi="Times New Roman" w:eastAsia="Times New Roman" w:cs="Times New Roman"/>
          <w:color w:val="000000"/>
        </w:rPr>
        <w:t>&gt;</w:t>
      </w:r>
      <w:r>
        <w:rPr>
          <w:rFonts w:ascii="宋体" w:hAnsi="宋体" w:eastAsia="宋体" w:cs="宋体"/>
          <w:color w:val="000000"/>
        </w:rPr>
        <w:t>丁</w:t>
      </w:r>
    </w:p>
    <w:p w14:paraId="115F64E1">
      <w:pPr>
        <w:spacing w:line="360" w:lineRule="auto"/>
        <w:textAlignment w:val="center"/>
        <w:rPr>
          <w:color w:val="000000"/>
        </w:rPr>
      </w:pPr>
      <w:r>
        <w:rPr>
          <w:color w:val="2E75B6"/>
        </w:rPr>
        <w:t>【答案】</w:t>
      </w:r>
      <w:r>
        <w:rPr>
          <w:color w:val="000000"/>
        </w:rPr>
        <w:t>12. B    13. C    14. C</w:t>
      </w:r>
    </w:p>
    <w:p w14:paraId="36862B83">
      <w:pPr>
        <w:spacing w:line="360" w:lineRule="auto"/>
        <w:textAlignment w:val="center"/>
        <w:rPr>
          <w:color w:val="000000"/>
        </w:rPr>
      </w:pPr>
      <w:r>
        <w:rPr>
          <w:color w:val="2E75B6"/>
        </w:rPr>
        <w:t>【解析】</w:t>
      </w:r>
    </w:p>
    <w:p w14:paraId="1EF856E0">
      <w:pPr>
        <w:spacing w:line="360" w:lineRule="auto"/>
        <w:textAlignment w:val="center"/>
        <w:rPr>
          <w:color w:val="000000"/>
        </w:rPr>
      </w:pPr>
      <w:r>
        <w:rPr>
          <w:color w:val="000000"/>
        </w:rPr>
        <w:t>【12题详解】</w:t>
      </w:r>
    </w:p>
    <w:p w14:paraId="60A7404D">
      <w:pPr>
        <w:spacing w:line="360" w:lineRule="auto"/>
        <w:jc w:val="left"/>
        <w:textAlignment w:val="center"/>
        <w:rPr>
          <w:color w:val="000000"/>
        </w:rPr>
      </w:pPr>
      <w:r>
        <w:rPr>
          <w:color w:val="000000"/>
        </w:rPr>
        <w:t xml:space="preserve">读图联系已学可知，美洲大陆西部的板块边界为消亡边界，古巴南部海域附近的板块边界图例与美洲大陆西部的板块边界图例一致，故此次地震附近为板块消亡边界，板块相互挤压碰撞容易引发地震，B正确；大西洋中脊为板块的生长边界，A错误；该区域位于美洲板块，并非太平洋板块，C错误；震中与哈瓦那分属同一岛屿两侧，受岛屿的阻挡，海啸不一定会危及哈瓦那，D错误。故选B。 </w:t>
      </w:r>
    </w:p>
    <w:p w14:paraId="0CA392C7">
      <w:pPr>
        <w:spacing w:line="360" w:lineRule="auto"/>
        <w:jc w:val="left"/>
        <w:textAlignment w:val="center"/>
        <w:rPr>
          <w:color w:val="000000"/>
        </w:rPr>
      </w:pPr>
      <w:r>
        <w:rPr>
          <w:color w:val="000000"/>
        </w:rPr>
        <w:t>【13题详解】</w:t>
      </w:r>
    </w:p>
    <w:p w14:paraId="4FCE44EE">
      <w:pPr>
        <w:spacing w:line="360" w:lineRule="auto"/>
        <w:jc w:val="left"/>
        <w:textAlignment w:val="center"/>
        <w:rPr>
          <w:color w:val="000000"/>
        </w:rPr>
      </w:pPr>
      <w:r>
        <w:rPr>
          <w:color w:val="000000"/>
        </w:rPr>
        <w:t>一般来说，板块生长边界，由于板块张裂，地幔物质从海底裂隙处涌出形成新的海底岩石，离生长边界越近，岩石年龄越小。承接上一题分析可知，虚线图例表示消亡边界，点线图例表示生长边界，图中甲、乙、丁均位于板块消亡边界附近，只有丙位于板块生长边界附近，故丙处海底岩石年龄最小，C正确，排除ABD。故选C。</w:t>
      </w:r>
    </w:p>
    <w:p w14:paraId="1C2C63BB">
      <w:pPr>
        <w:spacing w:line="360" w:lineRule="auto"/>
        <w:jc w:val="left"/>
        <w:textAlignment w:val="center"/>
        <w:rPr>
          <w:color w:val="000000"/>
        </w:rPr>
      </w:pPr>
      <w:r>
        <w:rPr>
          <w:color w:val="000000"/>
        </w:rPr>
        <w:t>【14题详解】</w:t>
      </w:r>
    </w:p>
    <w:p w14:paraId="2A3DA31A">
      <w:pPr>
        <w:spacing w:line="360" w:lineRule="auto"/>
        <w:jc w:val="left"/>
        <w:textAlignment w:val="center"/>
        <w:rPr>
          <w:color w:val="000000"/>
        </w:rPr>
      </w:pPr>
      <w:r>
        <w:rPr>
          <w:color w:val="000000"/>
        </w:rPr>
        <w:t>读图可知，甲乙地纬度相差不大，甲处寒流经过，乙处暖流经过，所以海水温度甲＜乙，B错误；甲处寒流影响，水温低、蒸发弱，盐度降低，乙处暖流影响，水温高、蒸发旺盛，盐度升高，所以海水盐度甲＜乙，A错误；全球大洋表层海水在副热带海区盐度最高，从副热带海区向低纬度和高纬度海区递减，乙离副热带海区更近，丙位于赤道附近，海水盐度乙&gt;丙，C正确；丙丁的纬度相差不大，丁受寒流影响，海水温度更低、密度更大，丙受暖流影响，海水温度更高，密度更小，所以海水密度丙＜丁，D错误。故选C。</w:t>
      </w:r>
    </w:p>
    <w:p w14:paraId="699B87E7">
      <w:pPr>
        <w:spacing w:line="360" w:lineRule="auto"/>
        <w:jc w:val="left"/>
        <w:textAlignment w:val="center"/>
        <w:rPr>
          <w:color w:val="000000"/>
        </w:rPr>
      </w:pPr>
      <w:r>
        <w:rPr>
          <w:color w:val="000000"/>
        </w:rPr>
        <w:t>【点睛】全球大洋表层海水：副热带海区盐度最高，从副热带海区向低纬度和高纬度海区递减。 海水温度一般从低纬度向高纬度递减。 海水密度由赤道向两极递增。</w:t>
      </w:r>
    </w:p>
    <w:p w14:paraId="7A6676FA">
      <w:pPr>
        <w:spacing w:line="360" w:lineRule="auto"/>
        <w:ind w:firstLine="420"/>
        <w:jc w:val="left"/>
        <w:textAlignment w:val="center"/>
        <w:rPr>
          <w:color w:val="000000"/>
        </w:rPr>
      </w:pPr>
      <w:r>
        <w:rPr>
          <w:rFonts w:ascii="楷体" w:hAnsi="楷体" w:eastAsia="楷体" w:cs="楷体"/>
          <w:color w:val="000000"/>
        </w:rPr>
        <w:t>下图</w:t>
      </w:r>
      <w:r>
        <w:rPr>
          <w:rFonts w:ascii="Times New Roman" w:hAnsi="Times New Roman" w:eastAsia="Times New Roman" w:cs="Times New Roman"/>
          <w:color w:val="000000"/>
        </w:rPr>
        <w:t>1</w:t>
      </w:r>
      <w:r>
        <w:rPr>
          <w:rFonts w:ascii="楷体" w:hAnsi="楷体" w:eastAsia="楷体" w:cs="楷体"/>
          <w:color w:val="000000"/>
        </w:rPr>
        <w:t>为南极洲某冰架</w:t>
      </w:r>
      <w:r>
        <w:rPr>
          <w:rFonts w:ascii="Times New Roman" w:hAnsi="Times New Roman" w:eastAsia="Times New Roman" w:cs="Times New Roman"/>
          <w:color w:val="000000"/>
        </w:rPr>
        <w:t>30</w:t>
      </w:r>
      <w:r>
        <w:rPr>
          <w:rFonts w:ascii="楷体" w:hAnsi="楷体" w:eastAsia="楷体" w:cs="楷体"/>
          <w:color w:val="000000"/>
        </w:rPr>
        <w:t>多年来面积变化遥感监测图。完成下面小题。</w:t>
      </w:r>
    </w:p>
    <w:p w14:paraId="38B00D0A">
      <w:pPr>
        <w:spacing w:line="360" w:lineRule="auto"/>
        <w:jc w:val="left"/>
        <w:textAlignment w:val="center"/>
        <w:rPr>
          <w:color w:val="000000"/>
        </w:rPr>
      </w:pPr>
      <w:r>
        <w:rPr>
          <w:color w:val="000000"/>
        </w:rPr>
        <w:drawing>
          <wp:inline distT="0" distB="0" distL="114300" distR="114300">
            <wp:extent cx="3543300" cy="1533525"/>
            <wp:effectExtent l="0" t="0" r="0" b="0"/>
            <wp:docPr id="100011" name="图片 10001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dOIRD7MIOSHNAx1ODbqMbQ=="/>
                    <pic:cNvPicPr>
                      <a:picLocks noChangeAspect="1"/>
                    </pic:cNvPicPr>
                  </pic:nvPicPr>
                  <pic:blipFill>
                    <a:blip r:embed="rId12"/>
                    <a:stretch>
                      <a:fillRect/>
                    </a:stretch>
                  </pic:blipFill>
                  <pic:spPr>
                    <a:xfrm>
                      <a:off x="0" y="0"/>
                      <a:ext cx="3543300" cy="1533525"/>
                    </a:xfrm>
                    <a:prstGeom prst="rect">
                      <a:avLst/>
                    </a:prstGeom>
                  </pic:spPr>
                </pic:pic>
              </a:graphicData>
            </a:graphic>
          </wp:inline>
        </w:drawing>
      </w:r>
    </w:p>
    <w:p w14:paraId="126D1C00">
      <w:pPr>
        <w:spacing w:line="360" w:lineRule="auto"/>
        <w:jc w:val="left"/>
        <w:textAlignment w:val="center"/>
        <w:rPr>
          <w:color w:val="000000"/>
        </w:rPr>
      </w:pPr>
      <w:r>
        <w:rPr>
          <w:color w:val="000000"/>
        </w:rPr>
        <w:t xml:space="preserve">15. </w:t>
      </w:r>
      <w:r>
        <w:rPr>
          <w:rFonts w:ascii="宋体" w:hAnsi="宋体" w:eastAsia="宋体" w:cs="宋体"/>
          <w:color w:val="000000"/>
        </w:rPr>
        <w:t>该冰架面积变化体现</w:t>
      </w:r>
      <w:r>
        <w:rPr>
          <w:rFonts w:ascii="宋体" w:hAnsi="宋体" w:eastAsia="宋体" w:cs="宋体"/>
          <w:color w:val="000000"/>
          <w:position w:val="0"/>
        </w:rPr>
        <w:drawing>
          <wp:inline distT="0" distB="0" distL="114300" distR="114300">
            <wp:extent cx="133350" cy="177800"/>
            <wp:effectExtent l="0" t="0" r="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全球气候变化，引发（</w:t>
      </w:r>
      <w:r>
        <w:rPr>
          <w:rFonts w:ascii="Times New Roman" w:hAnsi="Times New Roman" w:eastAsia="Times New Roman" w:cs="Times New Roman"/>
          <w:color w:val="000000"/>
        </w:rPr>
        <w:t xml:space="preserve">   </w:t>
      </w:r>
      <w:r>
        <w:rPr>
          <w:rFonts w:ascii="宋体" w:hAnsi="宋体" w:eastAsia="宋体" w:cs="宋体"/>
          <w:color w:val="000000"/>
        </w:rPr>
        <w:t>）</w:t>
      </w:r>
    </w:p>
    <w:p w14:paraId="69AD4FF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北极航道通航能力提升</w:t>
      </w:r>
      <w:r>
        <w:rPr>
          <w:color w:val="000000"/>
        </w:rPr>
        <w:tab/>
      </w:r>
      <w:r>
        <w:rPr>
          <w:color w:val="000000"/>
        </w:rPr>
        <w:t xml:space="preserve">B. </w:t>
      </w:r>
      <w:r>
        <w:rPr>
          <w:rFonts w:ascii="宋体" w:hAnsi="宋体" w:eastAsia="宋体" w:cs="宋体"/>
          <w:color w:val="000000"/>
        </w:rPr>
        <w:t>青藏高原湖泊面积缩小</w:t>
      </w:r>
    </w:p>
    <w:p w14:paraId="57547C3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我国冬小麦北界向南移</w:t>
      </w:r>
      <w:r>
        <w:rPr>
          <w:color w:val="000000"/>
        </w:rPr>
        <w:tab/>
      </w:r>
      <w:r>
        <w:rPr>
          <w:color w:val="000000"/>
        </w:rPr>
        <w:t xml:space="preserve">D. </w:t>
      </w:r>
      <w:r>
        <w:rPr>
          <w:rFonts w:ascii="宋体" w:hAnsi="宋体" w:eastAsia="宋体" w:cs="宋体"/>
          <w:color w:val="000000"/>
        </w:rPr>
        <w:t>我国西北高山雪线下降</w:t>
      </w:r>
    </w:p>
    <w:p w14:paraId="0F9C24F0">
      <w:pPr>
        <w:spacing w:line="360" w:lineRule="auto"/>
        <w:jc w:val="left"/>
        <w:textAlignment w:val="center"/>
        <w:rPr>
          <w:color w:val="000000"/>
        </w:rPr>
      </w:pPr>
      <w:r>
        <w:rPr>
          <w:color w:val="000000"/>
        </w:rPr>
        <w:t xml:space="preserve">16. </w:t>
      </w:r>
      <w:r>
        <w:rPr>
          <w:rFonts w:ascii="宋体" w:hAnsi="宋体" w:eastAsia="宋体" w:cs="宋体"/>
          <w:color w:val="000000"/>
        </w:rPr>
        <w:t>下列利用遥感技术监测的项目中，可确定甲为岛礁而非浮冰的是（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B7D567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激光雷达遥感探测冰面起伏</w:t>
      </w:r>
      <w:r>
        <w:rPr>
          <w:color w:val="000000"/>
        </w:rPr>
        <w:tab/>
      </w:r>
      <w:r>
        <w:rPr>
          <w:color w:val="000000"/>
        </w:rPr>
        <w:t xml:space="preserve">B. </w:t>
      </w:r>
      <w:r>
        <w:rPr>
          <w:rFonts w:ascii="宋体" w:hAnsi="宋体" w:eastAsia="宋体" w:cs="宋体"/>
          <w:color w:val="000000"/>
        </w:rPr>
        <w:t>热红外遥感获取海表温度分布</w:t>
      </w:r>
    </w:p>
    <w:p w14:paraId="49F6FA2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微波遥感探测水下三维地形</w:t>
      </w:r>
      <w:r>
        <w:rPr>
          <w:color w:val="000000"/>
        </w:rPr>
        <w:tab/>
      </w:r>
      <w:r>
        <w:rPr>
          <w:color w:val="000000"/>
        </w:rPr>
        <w:t xml:space="preserve">D. </w:t>
      </w:r>
      <w:r>
        <w:rPr>
          <w:rFonts w:ascii="宋体" w:hAnsi="宋体" w:eastAsia="宋体" w:cs="宋体"/>
          <w:color w:val="000000"/>
        </w:rPr>
        <w:t>可见光遥感获取冰面面积大小</w:t>
      </w:r>
    </w:p>
    <w:p w14:paraId="144CEBF5">
      <w:pPr>
        <w:spacing w:line="360" w:lineRule="auto"/>
        <w:jc w:val="left"/>
        <w:textAlignment w:val="center"/>
        <w:rPr>
          <w:color w:val="000000"/>
        </w:rPr>
      </w:pPr>
      <w:r>
        <w:rPr>
          <w:color w:val="000000"/>
        </w:rPr>
        <w:t xml:space="preserve">17.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（左）所示的海拔高度变化剖面线，对应图</w:t>
      </w:r>
      <w:r>
        <w:rPr>
          <w:rFonts w:ascii="Times New Roman" w:hAnsi="Times New Roman" w:eastAsia="Times New Roman" w:cs="Times New Roman"/>
          <w:color w:val="000000"/>
        </w:rPr>
        <w:t>2</w:t>
      </w:r>
      <w:r>
        <w:rPr>
          <w:rFonts w:ascii="宋体" w:hAnsi="宋体" w:eastAsia="宋体" w:cs="宋体"/>
          <w:color w:val="000000"/>
        </w:rPr>
        <w:t>（右）中的（</w:t>
      </w:r>
      <w:r>
        <w:rPr>
          <w:rFonts w:ascii="Times New Roman" w:hAnsi="Times New Roman" w:eastAsia="Times New Roman" w:cs="Times New Roman"/>
          <w:color w:val="000000"/>
        </w:rPr>
        <w:t xml:space="preserve">   </w:t>
      </w:r>
      <w:r>
        <w:rPr>
          <w:rFonts w:ascii="宋体" w:hAnsi="宋体" w:eastAsia="宋体" w:cs="宋体"/>
          <w:color w:val="000000"/>
        </w:rPr>
        <w:t>）</w:t>
      </w:r>
    </w:p>
    <w:p w14:paraId="2FAD234C">
      <w:pPr>
        <w:spacing w:line="360" w:lineRule="auto"/>
        <w:jc w:val="left"/>
        <w:textAlignment w:val="center"/>
        <w:rPr>
          <w:color w:val="000000"/>
        </w:rPr>
      </w:pPr>
      <w:r>
        <w:rPr>
          <w:color w:val="000000"/>
        </w:rPr>
        <w:drawing>
          <wp:inline distT="0" distB="0" distL="114300" distR="114300">
            <wp:extent cx="3971925" cy="1619250"/>
            <wp:effectExtent l="0" t="0" r="0" b="0"/>
            <wp:docPr id="100013" name="图片 10001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dOIRD7MIOSHNAx1ODbqMbQ=="/>
                    <pic:cNvPicPr>
                      <a:picLocks noChangeAspect="1"/>
                    </pic:cNvPicPr>
                  </pic:nvPicPr>
                  <pic:blipFill>
                    <a:blip r:embed="rId14"/>
                    <a:stretch>
                      <a:fillRect/>
                    </a:stretch>
                  </pic:blipFill>
                  <pic:spPr>
                    <a:xfrm>
                      <a:off x="0" y="0"/>
                      <a:ext cx="3971925" cy="1619250"/>
                    </a:xfrm>
                    <a:prstGeom prst="rect">
                      <a:avLst/>
                    </a:prstGeom>
                  </pic:spPr>
                </pic:pic>
              </a:graphicData>
            </a:graphic>
          </wp:inline>
        </w:drawing>
      </w:r>
    </w:p>
    <w:p w14:paraId="3D8D3C3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14:paraId="2CC1B394">
      <w:pPr>
        <w:spacing w:line="360" w:lineRule="auto"/>
        <w:textAlignment w:val="center"/>
        <w:rPr>
          <w:color w:val="000000"/>
        </w:rPr>
      </w:pPr>
      <w:r>
        <w:rPr>
          <w:color w:val="2E75B6"/>
        </w:rPr>
        <w:t>【答案】</w:t>
      </w:r>
      <w:r>
        <w:rPr>
          <w:color w:val="000000"/>
        </w:rPr>
        <w:t>15. A    16. C    17. D</w:t>
      </w:r>
    </w:p>
    <w:p w14:paraId="37220189">
      <w:pPr>
        <w:spacing w:line="360" w:lineRule="auto"/>
        <w:textAlignment w:val="center"/>
        <w:rPr>
          <w:color w:val="000000"/>
        </w:rPr>
      </w:pPr>
      <w:r>
        <w:rPr>
          <w:color w:val="2E75B6"/>
        </w:rPr>
        <w:t>【解析】</w:t>
      </w:r>
    </w:p>
    <w:p w14:paraId="7A7E362F">
      <w:pPr>
        <w:spacing w:line="360" w:lineRule="auto"/>
        <w:textAlignment w:val="center"/>
        <w:rPr>
          <w:color w:val="000000"/>
        </w:rPr>
      </w:pPr>
      <w:r>
        <w:rPr>
          <w:color w:val="000000"/>
        </w:rPr>
        <w:t>【15题详解】</w:t>
      </w:r>
    </w:p>
    <w:p w14:paraId="603C4BDB">
      <w:pPr>
        <w:spacing w:line="360" w:lineRule="auto"/>
        <w:jc w:val="left"/>
        <w:textAlignment w:val="center"/>
        <w:rPr>
          <w:color w:val="000000"/>
        </w:rPr>
      </w:pPr>
      <w:r>
        <w:rPr>
          <w:color w:val="000000"/>
        </w:rPr>
        <w:t>从冰架面积变化遥感监测图可知，冰架面积在缩小，这体现了全球气候变暖的趋势。全球气候变暖，北极地区气温升高，冰川融化，使得北极航道通航能力提升，A正确；全球气候变暖，青藏高原地区气温升高，高山冰雪融水增多，短时间内湖泊面积会扩大，B错误；我国冬小麦北界会因气候变暖而向北移，西北高山雪线会因气温升高而上升，CD错误。故选A。</w:t>
      </w:r>
    </w:p>
    <w:p w14:paraId="337CE27A">
      <w:pPr>
        <w:spacing w:line="360" w:lineRule="auto"/>
        <w:jc w:val="left"/>
        <w:textAlignment w:val="center"/>
        <w:rPr>
          <w:color w:val="000000"/>
        </w:rPr>
      </w:pPr>
      <w:r>
        <w:rPr>
          <w:color w:val="000000"/>
        </w:rPr>
        <w:t>【16题详解】</w:t>
      </w:r>
    </w:p>
    <w:p w14:paraId="480468E8">
      <w:pPr>
        <w:spacing w:line="360" w:lineRule="auto"/>
        <w:jc w:val="left"/>
        <w:textAlignment w:val="center"/>
        <w:rPr>
          <w:color w:val="000000"/>
        </w:rPr>
      </w:pPr>
      <w:r>
        <w:rPr>
          <w:color w:val="000000"/>
        </w:rPr>
        <w:t>激光雷达遥感探测冰面起伏，岛礁和浮冰都能呈现出一定的冰面起伏情况，无法据此确定甲为岛礁而非浮冰，A错误；热红外遥感获取海表温度分布，岛礁和浮冰反射率大、温度接近，无法分出甲是岛礁还是浮冰，B错误；微波遥感探测水下三维地形，浮冰漂浮在海面上，因此能区分出甲是岛礁还是浮冰，C正确；可见光遥感获取冰面面积大小，岛礁和浮冰都能测量出面积大小，无法区分两者，D错误。故选C。</w:t>
      </w:r>
    </w:p>
    <w:p w14:paraId="4DCEB269">
      <w:pPr>
        <w:spacing w:line="360" w:lineRule="auto"/>
        <w:jc w:val="left"/>
        <w:textAlignment w:val="center"/>
        <w:rPr>
          <w:color w:val="000000"/>
        </w:rPr>
      </w:pPr>
      <w:r>
        <w:rPr>
          <w:color w:val="000000"/>
        </w:rPr>
        <w:t>【17题详解】</w:t>
      </w:r>
    </w:p>
    <w:p w14:paraId="3FCFE9A2">
      <w:pPr>
        <w:spacing w:line="360" w:lineRule="auto"/>
        <w:jc w:val="left"/>
        <w:textAlignment w:val="center"/>
        <w:rPr>
          <w:color w:val="000000"/>
        </w:rPr>
      </w:pPr>
      <w:r>
        <w:rPr>
          <w:color w:val="000000"/>
        </w:rPr>
        <w:t>读图2可知，横坐标表示纬度，该剖面线纬度不同，应表示沿经线绘制，排除AB；④剖面线距大陆更近，往北纬度更低，剖面线经过海面浮冰，地表呈面出一定的起伏变化，与剖面线信息一致，D正确；③剖面线只经过甲岛，海面无浮冰，在65.55°S-65.56°之间应无地表起伏变化，排除C。故选D。</w:t>
      </w:r>
    </w:p>
    <w:p w14:paraId="1645FD84">
      <w:pPr>
        <w:spacing w:line="360" w:lineRule="auto"/>
        <w:jc w:val="left"/>
        <w:textAlignment w:val="center"/>
        <w:rPr>
          <w:color w:val="000000"/>
        </w:rPr>
      </w:pPr>
      <w:r>
        <w:rPr>
          <w:color w:val="000000"/>
        </w:rPr>
        <w:t>【点睛】遥感技术（RS）是利用一定的技术设备和系统，在远离被测目标的位置上对被测目标的电磁波特征进行测量、记录与分析的技术。</w:t>
      </w:r>
    </w:p>
    <w:p w14:paraId="307781E1">
      <w:pPr>
        <w:spacing w:line="360" w:lineRule="auto"/>
        <w:ind w:firstLine="420"/>
        <w:jc w:val="left"/>
        <w:textAlignment w:val="center"/>
        <w:rPr>
          <w:color w:val="000000"/>
        </w:rPr>
      </w:pPr>
      <w:r>
        <w:rPr>
          <w:rFonts w:ascii="楷体" w:hAnsi="楷体" w:eastAsia="楷体" w:cs="楷体"/>
          <w:color w:val="000000"/>
        </w:rPr>
        <w:t>俄罗斯矿产资源丰富。随着工业生产的发展，俄罗斯对某些特定矿产的需求增加，前苏联时期发现和勘探的矿产储量即将耗尽，矿产进口又因西方国家的经济制裁受到威胁，为此更新了战略性矿产资源清单。下图为俄罗斯战略性矿产资源清单变化示意图。完成下面小题。</w:t>
      </w:r>
    </w:p>
    <w:p w14:paraId="13FE322A">
      <w:pPr>
        <w:spacing w:line="360" w:lineRule="auto"/>
        <w:jc w:val="left"/>
        <w:textAlignment w:val="center"/>
        <w:rPr>
          <w:color w:val="000000"/>
        </w:rPr>
      </w:pPr>
      <w:r>
        <w:rPr>
          <w:color w:val="000000"/>
        </w:rPr>
        <w:drawing>
          <wp:inline distT="0" distB="0" distL="114300" distR="114300">
            <wp:extent cx="4714875" cy="2390775"/>
            <wp:effectExtent l="0" t="0" r="0" b="0"/>
            <wp:docPr id="100015" name="图片 10001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dOIRD7MIOSHNAx1ODbqMbQ=="/>
                    <pic:cNvPicPr>
                      <a:picLocks noChangeAspect="1"/>
                    </pic:cNvPicPr>
                  </pic:nvPicPr>
                  <pic:blipFill>
                    <a:blip r:embed="rId15"/>
                    <a:stretch>
                      <a:fillRect/>
                    </a:stretch>
                  </pic:blipFill>
                  <pic:spPr>
                    <a:xfrm>
                      <a:off x="0" y="0"/>
                      <a:ext cx="4714875" cy="2390775"/>
                    </a:xfrm>
                    <a:prstGeom prst="rect">
                      <a:avLst/>
                    </a:prstGeom>
                  </pic:spPr>
                </pic:pic>
              </a:graphicData>
            </a:graphic>
          </wp:inline>
        </w:drawing>
      </w:r>
    </w:p>
    <w:p w14:paraId="7D036450">
      <w:pPr>
        <w:spacing w:line="360" w:lineRule="auto"/>
        <w:jc w:val="left"/>
        <w:textAlignment w:val="center"/>
        <w:rPr>
          <w:color w:val="000000"/>
        </w:rPr>
      </w:pPr>
      <w:r>
        <w:rPr>
          <w:color w:val="000000"/>
        </w:rPr>
        <w:t xml:space="preserve">18. </w:t>
      </w:r>
      <w:r>
        <w:rPr>
          <w:rFonts w:ascii="宋体" w:hAnsi="宋体" w:eastAsia="宋体" w:cs="宋体"/>
          <w:color w:val="000000"/>
        </w:rPr>
        <w:t>俄罗斯增加战略性矿产资源种类的主要目的是（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DCBB81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促进高科技产业转型升级</w:t>
      </w:r>
      <w:r>
        <w:rPr>
          <w:color w:val="000000"/>
        </w:rPr>
        <w:tab/>
      </w:r>
      <w:r>
        <w:rPr>
          <w:color w:val="000000"/>
        </w:rPr>
        <w:t xml:space="preserve">B. </w:t>
      </w:r>
      <w:r>
        <w:rPr>
          <w:rFonts w:ascii="宋体" w:hAnsi="宋体" w:eastAsia="宋体" w:cs="宋体"/>
          <w:color w:val="000000"/>
        </w:rPr>
        <w:t>提高战略性矿产资源利用率</w:t>
      </w:r>
    </w:p>
    <w:p w14:paraId="4F99E1D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限制战略性矿产资源出口</w:t>
      </w:r>
      <w:r>
        <w:rPr>
          <w:color w:val="000000"/>
        </w:rPr>
        <w:tab/>
      </w:r>
      <w:r>
        <w:rPr>
          <w:color w:val="000000"/>
        </w:rPr>
        <w:t xml:space="preserve">D. </w:t>
      </w:r>
      <w:r>
        <w:rPr>
          <w:rFonts w:ascii="宋体" w:hAnsi="宋体" w:eastAsia="宋体" w:cs="宋体"/>
          <w:color w:val="000000"/>
        </w:rPr>
        <w:t>提升在全球供应链中的地位</w:t>
      </w:r>
    </w:p>
    <w:p w14:paraId="1DE2907D">
      <w:pPr>
        <w:spacing w:line="360" w:lineRule="auto"/>
        <w:jc w:val="left"/>
        <w:textAlignment w:val="center"/>
        <w:rPr>
          <w:color w:val="000000"/>
        </w:rPr>
      </w:pPr>
      <w:r>
        <w:rPr>
          <w:color w:val="000000"/>
        </w:rPr>
        <w:t xml:space="preserve">19. </w:t>
      </w:r>
      <w:r>
        <w:rPr>
          <w:rFonts w:ascii="宋体" w:hAnsi="宋体" w:eastAsia="宋体" w:cs="宋体"/>
          <w:color w:val="000000"/>
        </w:rPr>
        <w:t>俄罗斯更新其战略性矿产资源清单产生的最主要影响是（</w:t>
      </w:r>
      <w:r>
        <w:rPr>
          <w:rFonts w:ascii="Times New Roman" w:hAnsi="Times New Roman" w:eastAsia="Times New Roman" w:cs="Times New Roman"/>
          <w:color w:val="000000"/>
        </w:rPr>
        <w:t xml:space="preserve">   </w:t>
      </w:r>
      <w:r>
        <w:rPr>
          <w:rFonts w:ascii="宋体" w:hAnsi="宋体" w:eastAsia="宋体" w:cs="宋体"/>
          <w:color w:val="000000"/>
        </w:rPr>
        <w:t>）</w:t>
      </w:r>
    </w:p>
    <w:p w14:paraId="353E39F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限制外国资本进入战略性矿产领域</w:t>
      </w:r>
      <w:r>
        <w:rPr>
          <w:color w:val="000000"/>
        </w:rPr>
        <w:tab/>
      </w:r>
      <w:r>
        <w:rPr>
          <w:color w:val="000000"/>
        </w:rPr>
        <w:t xml:space="preserve">B. </w:t>
      </w:r>
      <w:r>
        <w:rPr>
          <w:rFonts w:ascii="宋体" w:hAnsi="宋体" w:eastAsia="宋体" w:cs="宋体"/>
          <w:color w:val="000000"/>
        </w:rPr>
        <w:t>推动战略性矿产国际合作</w:t>
      </w:r>
    </w:p>
    <w:p w14:paraId="1F40448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刺激国内战略性矿产的勘探与开采</w:t>
      </w:r>
      <w:r>
        <w:rPr>
          <w:color w:val="000000"/>
        </w:rPr>
        <w:tab/>
      </w:r>
      <w:r>
        <w:rPr>
          <w:color w:val="000000"/>
        </w:rPr>
        <w:t xml:space="preserve">D. </w:t>
      </w:r>
      <w:r>
        <w:rPr>
          <w:rFonts w:ascii="宋体" w:hAnsi="宋体" w:eastAsia="宋体" w:cs="宋体"/>
          <w:color w:val="000000"/>
        </w:rPr>
        <w:t>增加战略性矿产资源储备</w:t>
      </w:r>
    </w:p>
    <w:p w14:paraId="4C6C5970">
      <w:pPr>
        <w:spacing w:line="360" w:lineRule="auto"/>
        <w:textAlignment w:val="center"/>
        <w:rPr>
          <w:color w:val="000000"/>
        </w:rPr>
      </w:pPr>
      <w:r>
        <w:rPr>
          <w:color w:val="2E75B6"/>
        </w:rPr>
        <w:t>【答案】</w:t>
      </w:r>
      <w:r>
        <w:rPr>
          <w:color w:val="000000"/>
        </w:rPr>
        <w:t>18. D    19. C</w:t>
      </w:r>
    </w:p>
    <w:p w14:paraId="32A8F1EE">
      <w:pPr>
        <w:spacing w:line="360" w:lineRule="auto"/>
        <w:textAlignment w:val="center"/>
        <w:rPr>
          <w:color w:val="000000"/>
        </w:rPr>
      </w:pPr>
      <w:r>
        <w:rPr>
          <w:color w:val="2E75B6"/>
        </w:rPr>
        <w:t>【解析】</w:t>
      </w:r>
    </w:p>
    <w:p w14:paraId="70F36F6F">
      <w:pPr>
        <w:spacing w:line="360" w:lineRule="auto"/>
        <w:textAlignment w:val="center"/>
        <w:rPr>
          <w:color w:val="000000"/>
        </w:rPr>
      </w:pPr>
      <w:r>
        <w:rPr>
          <w:color w:val="000000"/>
        </w:rPr>
        <w:t>【18题详解】</w:t>
      </w:r>
    </w:p>
    <w:p w14:paraId="115D00F6">
      <w:pPr>
        <w:spacing w:line="360" w:lineRule="auto"/>
        <w:jc w:val="left"/>
        <w:textAlignment w:val="center"/>
        <w:rPr>
          <w:color w:val="000000"/>
        </w:rPr>
      </w:pPr>
      <w:r>
        <w:rPr>
          <w:color w:val="000000"/>
        </w:rPr>
        <w:t>根据材料可知，俄罗斯对某些特定矿产的需求增加，又面临矿产储量即将耗尽和进口受制裁威胁的情况，增加战略性矿产资源种类，有助于保障自身矿产资源的供应安全，减少对外部供应的依赖，从而提升在全球供应链中的地位，D正确；促进高科技产业转型升级通常需要多方面因素共同作用，如科研投入、人才培养、政策支持等，仅增加战略性矿产资源种类并不能促进高科技产业转型升级，A错误；提高战略性矿产资源利用率更多依赖于技术创新、管理水平提升等措施，而非单纯增加资源种类，B错误；材料中没有体现出增加种类是为了限制战略性矿产资源出口，C错误。故选D。</w:t>
      </w:r>
    </w:p>
    <w:p w14:paraId="34BB1B9D">
      <w:pPr>
        <w:spacing w:line="360" w:lineRule="auto"/>
        <w:jc w:val="left"/>
        <w:textAlignment w:val="center"/>
        <w:rPr>
          <w:color w:val="000000"/>
        </w:rPr>
      </w:pPr>
      <w:r>
        <w:rPr>
          <w:color w:val="000000"/>
        </w:rPr>
        <w:t>【19题详解】</w:t>
      </w:r>
    </w:p>
    <w:p w14:paraId="1502CB32">
      <w:pPr>
        <w:spacing w:line="360" w:lineRule="auto"/>
        <w:jc w:val="left"/>
        <w:textAlignment w:val="center"/>
        <w:rPr>
          <w:color w:val="000000"/>
        </w:rPr>
      </w:pPr>
      <w:r>
        <w:rPr>
          <w:color w:val="000000"/>
        </w:rPr>
        <w:t>由于面临矿产储量即将耗尽等问题，更新战略性矿产资源清单，会刺激国内对这些战略性矿产的勘探与开采，以保障自身矿产需求，C正确；更新矿产资源清单本身并不意味着限制外资进入，A错误；更新清单主要目的通常是先着眼于国内对资源的管理和利用，而不是直接为了推动国际合作，虽然可能在一定程度上会对国际合作产生影响，但不是最主要影响，B错误；更新清单不一定就直接导致增加储备和开采，还需要综合考虑资源状况、市场需求、环境等多方面因素，D错误。故选C。</w:t>
      </w:r>
    </w:p>
    <w:p w14:paraId="03807BA0">
      <w:pPr>
        <w:spacing w:line="360" w:lineRule="auto"/>
        <w:jc w:val="left"/>
        <w:textAlignment w:val="center"/>
        <w:rPr>
          <w:color w:val="000000"/>
        </w:rPr>
      </w:pPr>
      <w:r>
        <w:rPr>
          <w:color w:val="000000"/>
        </w:rPr>
        <w:t>【点睛】保障资源安全的主要途径：增加资源供给和保障能力，节约和优化资源利用，规避衍生安全风险。</w:t>
      </w:r>
    </w:p>
    <w:p w14:paraId="5BA3D90E">
      <w:pPr>
        <w:spacing w:line="360" w:lineRule="auto"/>
        <w:ind w:firstLine="420"/>
        <w:jc w:val="left"/>
        <w:textAlignment w:val="center"/>
        <w:rPr>
          <w:color w:val="000000"/>
        </w:rPr>
      </w:pPr>
      <w:r>
        <w:rPr>
          <w:rFonts w:ascii="楷体" w:hAnsi="楷体" w:eastAsia="楷体" w:cs="楷体"/>
          <w:color w:val="000000"/>
        </w:rPr>
        <w:t>生活圈是由满足日常生活需求的各类服务活动所构成的空间范围，根据居民到服务设施出行时间的长短可划分不同等级。近年来，我国开展生活圈规划建设以提升居民生活品质。下图为三个等级生活圈示意图。完成下面小题。</w:t>
      </w:r>
    </w:p>
    <w:p w14:paraId="61AFE4B3">
      <w:pPr>
        <w:spacing w:line="360" w:lineRule="auto"/>
        <w:jc w:val="left"/>
        <w:textAlignment w:val="center"/>
        <w:rPr>
          <w:color w:val="000000"/>
        </w:rPr>
      </w:pPr>
      <w:r>
        <w:rPr>
          <w:color w:val="000000"/>
        </w:rPr>
        <w:drawing>
          <wp:inline distT="0" distB="0" distL="114300" distR="114300">
            <wp:extent cx="3695700" cy="2066925"/>
            <wp:effectExtent l="0" t="0" r="0" b="0"/>
            <wp:docPr id="100017" name="图片 10001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dOIRD7MIOSHNAx1ODbqMbQ=="/>
                    <pic:cNvPicPr>
                      <a:picLocks noChangeAspect="1"/>
                    </pic:cNvPicPr>
                  </pic:nvPicPr>
                  <pic:blipFill>
                    <a:blip r:embed="rId16"/>
                    <a:stretch>
                      <a:fillRect/>
                    </a:stretch>
                  </pic:blipFill>
                  <pic:spPr>
                    <a:xfrm>
                      <a:off x="0" y="0"/>
                      <a:ext cx="3695700" cy="2066925"/>
                    </a:xfrm>
                    <a:prstGeom prst="rect">
                      <a:avLst/>
                    </a:prstGeom>
                  </pic:spPr>
                </pic:pic>
              </a:graphicData>
            </a:graphic>
          </wp:inline>
        </w:drawing>
      </w:r>
    </w:p>
    <w:p w14:paraId="215C5B94">
      <w:pPr>
        <w:spacing w:line="360" w:lineRule="auto"/>
        <w:jc w:val="left"/>
        <w:textAlignment w:val="center"/>
        <w:rPr>
          <w:color w:val="000000"/>
        </w:rPr>
      </w:pPr>
      <w:r>
        <w:rPr>
          <w:color w:val="000000"/>
        </w:rPr>
        <w:t xml:space="preserve">20. </w:t>
      </w:r>
      <w:r>
        <w:rPr>
          <w:rFonts w:ascii="宋体" w:hAnsi="宋体" w:eastAsia="宋体" w:cs="宋体"/>
          <w:color w:val="000000"/>
        </w:rPr>
        <w:t>生活圈等级越高（</w:t>
      </w:r>
      <w:r>
        <w:rPr>
          <w:rFonts w:ascii="Times New Roman" w:hAnsi="Times New Roman" w:eastAsia="Times New Roman" w:cs="Times New Roman"/>
          <w:color w:val="000000"/>
        </w:rPr>
        <w:t xml:space="preserve">   </w:t>
      </w:r>
      <w:r>
        <w:rPr>
          <w:rFonts w:ascii="宋体" w:hAnsi="宋体" w:eastAsia="宋体" w:cs="宋体"/>
          <w:color w:val="000000"/>
        </w:rPr>
        <w:t>）</w:t>
      </w:r>
    </w:p>
    <w:p w14:paraId="3166932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服务设施的规模越小</w:t>
      </w:r>
      <w:r>
        <w:rPr>
          <w:color w:val="000000"/>
        </w:rPr>
        <w:tab/>
      </w:r>
      <w:r>
        <w:rPr>
          <w:color w:val="000000"/>
        </w:rPr>
        <w:t xml:space="preserve">B. </w:t>
      </w:r>
      <w:r>
        <w:rPr>
          <w:rFonts w:ascii="宋体" w:hAnsi="宋体" w:eastAsia="宋体" w:cs="宋体"/>
          <w:color w:val="000000"/>
        </w:rPr>
        <w:t>居民出行距离越长</w:t>
      </w:r>
    </w:p>
    <w:p w14:paraId="4EB7DBA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服务设施分布越均匀</w:t>
      </w:r>
      <w:r>
        <w:rPr>
          <w:color w:val="000000"/>
        </w:rPr>
        <w:tab/>
      </w:r>
      <w:r>
        <w:rPr>
          <w:color w:val="000000"/>
        </w:rPr>
        <w:t xml:space="preserve">D. </w:t>
      </w:r>
      <w:r>
        <w:rPr>
          <w:rFonts w:ascii="宋体" w:hAnsi="宋体" w:eastAsia="宋体" w:cs="宋体"/>
          <w:color w:val="000000"/>
        </w:rPr>
        <w:t>居民出行频率越高</w:t>
      </w:r>
    </w:p>
    <w:p w14:paraId="599632C4">
      <w:pPr>
        <w:spacing w:line="360" w:lineRule="auto"/>
        <w:jc w:val="left"/>
        <w:textAlignment w:val="center"/>
        <w:rPr>
          <w:color w:val="000000"/>
        </w:rPr>
      </w:pPr>
      <w:r>
        <w:rPr>
          <w:color w:val="000000"/>
        </w:rPr>
        <w:t xml:space="preserve">21. </w:t>
      </w:r>
      <w:r>
        <w:rPr>
          <w:rFonts w:ascii="宋体" w:hAnsi="宋体" w:eastAsia="宋体" w:cs="宋体"/>
          <w:color w:val="000000"/>
        </w:rPr>
        <w:t>不同等级生活圈建设，可以（</w:t>
      </w:r>
      <w:r>
        <w:rPr>
          <w:rFonts w:ascii="Times New Roman" w:hAnsi="Times New Roman" w:eastAsia="Times New Roman" w:cs="Times New Roman"/>
          <w:color w:val="000000"/>
        </w:rPr>
        <w:t xml:space="preserve">   </w:t>
      </w:r>
      <w:r>
        <w:rPr>
          <w:rFonts w:ascii="宋体" w:hAnsi="宋体" w:eastAsia="宋体" w:cs="宋体"/>
          <w:color w:val="000000"/>
        </w:rPr>
        <w:t>）</w:t>
      </w:r>
    </w:p>
    <w:p w14:paraId="1CBD7519">
      <w:pPr>
        <w:spacing w:line="360" w:lineRule="auto"/>
        <w:jc w:val="left"/>
        <w:textAlignment w:val="center"/>
        <w:rPr>
          <w:color w:val="000000"/>
        </w:rPr>
      </w:pPr>
      <w:r>
        <w:rPr>
          <w:rFonts w:ascii="宋体" w:hAnsi="宋体" w:eastAsia="宋体" w:cs="宋体"/>
          <w:color w:val="000000"/>
        </w:rPr>
        <w:t>①促进城市功能分区②提高</w:t>
      </w:r>
      <w:r>
        <w:rPr>
          <w:rFonts w:ascii="Times New Roman" w:hAnsi="Times New Roman" w:eastAsia="Times New Roman" w:cs="Times New Roman"/>
          <w:color w:val="000000"/>
        </w:rPr>
        <w:t>15</w:t>
      </w:r>
      <w:r>
        <w:rPr>
          <w:rFonts w:ascii="宋体" w:hAnsi="宋体" w:eastAsia="宋体" w:cs="宋体"/>
          <w:color w:val="000000"/>
        </w:rPr>
        <w:t>分钟生活圈服务设施等级</w:t>
      </w:r>
    </w:p>
    <w:p w14:paraId="5A917DD5">
      <w:pPr>
        <w:spacing w:line="360" w:lineRule="auto"/>
        <w:jc w:val="left"/>
        <w:textAlignment w:val="center"/>
        <w:rPr>
          <w:color w:val="000000"/>
        </w:rPr>
      </w:pPr>
      <w:r>
        <w:rPr>
          <w:rFonts w:ascii="宋体" w:hAnsi="宋体" w:eastAsia="宋体" w:cs="宋体"/>
          <w:color w:val="000000"/>
        </w:rPr>
        <w:t>③缓解城市交通拥堵④减轻</w:t>
      </w:r>
      <w:r>
        <w:rPr>
          <w:rFonts w:ascii="Times New Roman" w:hAnsi="Times New Roman" w:eastAsia="Times New Roman" w:cs="Times New Roman"/>
          <w:color w:val="000000"/>
        </w:rPr>
        <w:t>60</w:t>
      </w:r>
      <w:r>
        <w:rPr>
          <w:rFonts w:ascii="宋体" w:hAnsi="宋体" w:eastAsia="宋体" w:cs="宋体"/>
          <w:color w:val="000000"/>
        </w:rPr>
        <w:t>分钟生活圈服务设施压力</w:t>
      </w:r>
    </w:p>
    <w:p w14:paraId="42EB72A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32891460">
      <w:pPr>
        <w:spacing w:line="360" w:lineRule="auto"/>
        <w:textAlignment w:val="center"/>
        <w:rPr>
          <w:color w:val="000000"/>
        </w:rPr>
      </w:pPr>
      <w:r>
        <w:rPr>
          <w:color w:val="2E75B6"/>
        </w:rPr>
        <w:t>【答案】</w:t>
      </w:r>
      <w:r>
        <w:rPr>
          <w:color w:val="000000"/>
        </w:rPr>
        <w:t>20. B    21. D</w:t>
      </w:r>
    </w:p>
    <w:p w14:paraId="26F85258">
      <w:pPr>
        <w:spacing w:line="360" w:lineRule="auto"/>
        <w:textAlignment w:val="center"/>
        <w:rPr>
          <w:color w:val="000000"/>
        </w:rPr>
      </w:pPr>
      <w:r>
        <w:rPr>
          <w:color w:val="2E75B6"/>
        </w:rPr>
        <w:t>【解析】</w:t>
      </w:r>
    </w:p>
    <w:p w14:paraId="67D40203">
      <w:pPr>
        <w:spacing w:line="360" w:lineRule="auto"/>
        <w:textAlignment w:val="center"/>
        <w:rPr>
          <w:color w:val="000000"/>
        </w:rPr>
      </w:pPr>
      <w:r>
        <w:rPr>
          <w:color w:val="000000"/>
        </w:rPr>
        <w:t>【20题详解】</w:t>
      </w:r>
    </w:p>
    <w:p w14:paraId="25449BCA">
      <w:pPr>
        <w:spacing w:line="360" w:lineRule="auto"/>
        <w:jc w:val="left"/>
        <w:textAlignment w:val="center"/>
        <w:rPr>
          <w:color w:val="000000"/>
        </w:rPr>
      </w:pPr>
      <w:r>
        <w:rPr>
          <w:color w:val="000000"/>
        </w:rPr>
        <w:t>据图可知，60分钟生活圈里的都市商业中心、大型综合医院等，居民去这些地方通常比去15分钟生活圈里的便利店、幼儿园距离更远，故生活圈等级越高，其覆盖范围越大，居民为获取相应服务出行距离也就越长，B正确；通常生活圈等级越高，服务设施的规模越大，居民使用频率相对较低，比如型综合医院、都市商业中心等设施规模明显大于卫生站、便利店，居民前往的频率低，AD错误；高等级生活圈服务设施数量相对少，考虑交通、人流量等因素，其分布并不均匀，C错误。故选B。</w:t>
      </w:r>
    </w:p>
    <w:p w14:paraId="1E614326">
      <w:pPr>
        <w:spacing w:line="360" w:lineRule="auto"/>
        <w:jc w:val="left"/>
        <w:textAlignment w:val="center"/>
        <w:rPr>
          <w:color w:val="000000"/>
        </w:rPr>
      </w:pPr>
      <w:r>
        <w:rPr>
          <w:color w:val="000000"/>
        </w:rPr>
        <w:t>【21题详解】</w:t>
      </w:r>
    </w:p>
    <w:p w14:paraId="70391894">
      <w:pPr>
        <w:spacing w:line="360" w:lineRule="auto"/>
        <w:jc w:val="left"/>
        <w:textAlignment w:val="center"/>
        <w:rPr>
          <w:color w:val="000000"/>
        </w:rPr>
      </w:pPr>
      <w:r>
        <w:rPr>
          <w:color w:val="000000"/>
        </w:rPr>
        <w:t>据图可知，三个等级生活圈内包含了不同的功能活动，不会促使同类功能活动集聚形成城市功能分区，①错误；15分钟生活圈主要满足居民基本日常需求，有其自身定位和功能，提高15分钟生活圈服务设施等级会导致城市公共资源的浪费，②错误；不同等级生活圈建设，使得居民在较小范围内就能满足多数日常需求，减少了远距离出行，有利于缓解城市交通拥堵，③正确；不同等级生活圈分工不同，15分钟、30分钟生活圈能满足居民部分日常需求，减少居民对60分钟生活圈高等级服务设施不必要的依赖，从而减轻60分钟生活圈服务设施压力，④正确。综上所述，D正确，排除ABC。故选D。</w:t>
      </w:r>
    </w:p>
    <w:p w14:paraId="397298A5">
      <w:pPr>
        <w:spacing w:line="360" w:lineRule="auto"/>
        <w:jc w:val="left"/>
        <w:textAlignment w:val="center"/>
        <w:rPr>
          <w:color w:val="000000"/>
        </w:rPr>
      </w:pPr>
      <w:r>
        <w:rPr>
          <w:color w:val="000000"/>
        </w:rPr>
        <w:t>【点睛】城市功能区，指城市内部各功能活动的分布空间及其相应产生的小区分异。它受自然、经济、历史、社会等众多因素的影响，随着城市的发展而形成、发展、现代城市根据各功能对环境、社会、技术经济等条件的要求，为避免工业生产、交通运输和居民生活相互干扰，为有利于生产和环境保护，并合理利用土地和自然条件，将城市按一定功能划分为若干功能区。</w:t>
      </w:r>
    </w:p>
    <w:p w14:paraId="22F5E0C3">
      <w:pPr>
        <w:spacing w:line="360" w:lineRule="auto"/>
        <w:ind w:firstLine="420"/>
        <w:jc w:val="left"/>
        <w:textAlignment w:val="center"/>
        <w:rPr>
          <w:color w:val="000000"/>
        </w:rPr>
      </w:pPr>
      <w:r>
        <w:rPr>
          <w:rFonts w:ascii="楷体" w:hAnsi="楷体" w:eastAsia="楷体" w:cs="楷体"/>
          <w:color w:val="000000"/>
        </w:rPr>
        <w:t>下图为北半球某地某时刻海平面等压线图（单位</w:t>
      </w:r>
      <w:r>
        <w:rPr>
          <w:rFonts w:ascii="Times New Roman" w:hAnsi="Times New Roman" w:eastAsia="Times New Roman" w:cs="Times New Roman"/>
          <w:color w:val="000000"/>
        </w:rPr>
        <w:t>hPa</w:t>
      </w:r>
      <w:r>
        <w:rPr>
          <w:rFonts w:ascii="楷体" w:hAnsi="楷体" w:eastAsia="楷体" w:cs="楷体"/>
          <w:color w:val="000000"/>
        </w:rPr>
        <w:t>）。完成下面小题。</w:t>
      </w:r>
    </w:p>
    <w:p w14:paraId="5B8EE171">
      <w:pPr>
        <w:spacing w:line="360" w:lineRule="auto"/>
        <w:jc w:val="left"/>
        <w:textAlignment w:val="center"/>
        <w:rPr>
          <w:color w:val="000000"/>
        </w:rPr>
      </w:pPr>
      <w:r>
        <w:rPr>
          <w:color w:val="000000"/>
        </w:rPr>
        <w:drawing>
          <wp:inline distT="0" distB="0" distL="114300" distR="114300">
            <wp:extent cx="2924175" cy="1381125"/>
            <wp:effectExtent l="0" t="0" r="0" b="0"/>
            <wp:docPr id="100019" name="图片 10001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dOIRD7MIOSHNAx1ODbqMbQ=="/>
                    <pic:cNvPicPr>
                      <a:picLocks noChangeAspect="1"/>
                    </pic:cNvPicPr>
                  </pic:nvPicPr>
                  <pic:blipFill>
                    <a:blip r:embed="rId17"/>
                    <a:stretch>
                      <a:fillRect/>
                    </a:stretch>
                  </pic:blipFill>
                  <pic:spPr>
                    <a:xfrm>
                      <a:off x="0" y="0"/>
                      <a:ext cx="2924175" cy="1381125"/>
                    </a:xfrm>
                    <a:prstGeom prst="rect">
                      <a:avLst/>
                    </a:prstGeom>
                  </pic:spPr>
                </pic:pic>
              </a:graphicData>
            </a:graphic>
          </wp:inline>
        </w:drawing>
      </w:r>
    </w:p>
    <w:p w14:paraId="45E58F26">
      <w:pPr>
        <w:spacing w:line="360" w:lineRule="auto"/>
        <w:jc w:val="left"/>
        <w:textAlignment w:val="center"/>
        <w:rPr>
          <w:color w:val="000000"/>
        </w:rPr>
      </w:pPr>
      <w:r>
        <w:rPr>
          <w:color w:val="000000"/>
        </w:rPr>
        <w:t xml:space="preserve">22. </w:t>
      </w:r>
      <w:r>
        <w:rPr>
          <w:rFonts w:ascii="宋体" w:hAnsi="宋体" w:eastAsia="宋体" w:cs="宋体"/>
          <w:color w:val="000000"/>
        </w:rPr>
        <w:t>图中等压距和</w:t>
      </w:r>
      <w:r>
        <w:rPr>
          <w:rFonts w:ascii="Times New Roman" w:hAnsi="Times New Roman" w:eastAsia="Times New Roman" w:cs="Times New Roman"/>
          <w:color w:val="000000"/>
        </w:rPr>
        <w:t>P</w:t>
      </w:r>
      <w:r>
        <w:rPr>
          <w:rFonts w:ascii="宋体" w:hAnsi="宋体" w:eastAsia="宋体" w:cs="宋体"/>
          <w:color w:val="000000"/>
        </w:rPr>
        <w:t>地气压值（单位</w:t>
      </w:r>
      <w:r>
        <w:rPr>
          <w:rFonts w:ascii="Times New Roman" w:hAnsi="Times New Roman" w:eastAsia="Times New Roman" w:cs="Times New Roman"/>
          <w:color w:val="000000"/>
        </w:rPr>
        <w:t>hPa</w:t>
      </w:r>
      <w:r>
        <w:rPr>
          <w:rFonts w:ascii="宋体" w:hAnsi="宋体" w:eastAsia="宋体" w:cs="宋体"/>
          <w:color w:val="000000"/>
        </w:rPr>
        <w:t>）可能是（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63EC201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1012</w:t>
      </w:r>
      <w:r>
        <w:rPr>
          <w:color w:val="000000"/>
        </w:rPr>
        <w:tab/>
      </w:r>
      <w:r>
        <w:rPr>
          <w:color w:val="000000"/>
        </w:rPr>
        <w:t xml:space="preserve">B. </w:t>
      </w:r>
      <w:r>
        <w:rPr>
          <w:rFonts w:ascii="Times New Roman" w:hAnsi="Times New Roman" w:eastAsia="Times New Roman" w:cs="Times New Roman"/>
          <w:color w:val="000000"/>
        </w:rPr>
        <w:t>7.5</w:t>
      </w:r>
      <w:r>
        <w:rPr>
          <w:rFonts w:ascii="宋体" w:hAnsi="宋体" w:eastAsia="宋体" w:cs="宋体"/>
          <w:color w:val="000000"/>
        </w:rPr>
        <w:t>、</w:t>
      </w:r>
      <w:r>
        <w:rPr>
          <w:rFonts w:ascii="Times New Roman" w:hAnsi="Times New Roman" w:eastAsia="Times New Roman" w:cs="Times New Roman"/>
          <w:color w:val="000000"/>
        </w:rPr>
        <w:t>1008</w:t>
      </w:r>
      <w:r>
        <w:rPr>
          <w:color w:val="000000"/>
        </w:rPr>
        <w:tab/>
      </w:r>
      <w:r>
        <w:rPr>
          <w:color w:val="000000"/>
        </w:rPr>
        <w:t xml:space="preserve">C. </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1027</w:t>
      </w:r>
      <w:r>
        <w:rPr>
          <w:color w:val="000000"/>
        </w:rPr>
        <w:tab/>
      </w:r>
      <w:r>
        <w:rPr>
          <w:color w:val="000000"/>
        </w:rPr>
        <w:t xml:space="preserve">D. </w:t>
      </w:r>
      <w:r>
        <w:rPr>
          <w:rFonts w:ascii="Times New Roman" w:hAnsi="Times New Roman" w:eastAsia="Times New Roman" w:cs="Times New Roman"/>
          <w:color w:val="000000"/>
        </w:rPr>
        <w:t>7.5</w:t>
      </w:r>
      <w:r>
        <w:rPr>
          <w:rFonts w:ascii="宋体" w:hAnsi="宋体" w:eastAsia="宋体" w:cs="宋体"/>
          <w:color w:val="000000"/>
        </w:rPr>
        <w:t>、</w:t>
      </w:r>
      <w:r>
        <w:rPr>
          <w:rFonts w:ascii="Times New Roman" w:hAnsi="Times New Roman" w:eastAsia="Times New Roman" w:cs="Times New Roman"/>
          <w:color w:val="000000"/>
        </w:rPr>
        <w:t>1030</w:t>
      </w:r>
    </w:p>
    <w:p w14:paraId="54DD5EAE">
      <w:pPr>
        <w:spacing w:line="360" w:lineRule="auto"/>
        <w:jc w:val="left"/>
        <w:textAlignment w:val="center"/>
        <w:rPr>
          <w:color w:val="000000"/>
        </w:rPr>
      </w:pPr>
      <w:r>
        <w:rPr>
          <w:color w:val="000000"/>
        </w:rPr>
        <w:t xml:space="preserve">23. </w:t>
      </w:r>
      <w:r>
        <w:rPr>
          <w:rFonts w:ascii="宋体" w:hAnsi="宋体" w:eastAsia="宋体" w:cs="宋体"/>
          <w:color w:val="000000"/>
        </w:rPr>
        <w:t>甲、乙、丙、丁四地气象要素的垂直变化，可能出现的是（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4A00E32">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600075" cy="942975"/>
            <wp:effectExtent l="0" t="0" r="0" b="0"/>
            <wp:docPr id="100021" name="图片 10002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dOIRD7MIOSHNAx1ODbqMbQ=="/>
                    <pic:cNvPicPr>
                      <a:picLocks noChangeAspect="1"/>
                    </pic:cNvPicPr>
                  </pic:nvPicPr>
                  <pic:blipFill>
                    <a:blip r:embed="rId18"/>
                    <a:stretch>
                      <a:fillRect/>
                    </a:stretch>
                  </pic:blipFill>
                  <pic:spPr>
                    <a:xfrm>
                      <a:off x="0" y="0"/>
                      <a:ext cx="600075" cy="9429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685800" cy="952500"/>
            <wp:effectExtent l="0" t="0" r="0" b="0"/>
            <wp:docPr id="100023" name="图片 10002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dOIRD7MIOSHNAx1ODbqMbQ=="/>
                    <pic:cNvPicPr>
                      <a:picLocks noChangeAspect="1"/>
                    </pic:cNvPicPr>
                  </pic:nvPicPr>
                  <pic:blipFill>
                    <a:blip r:embed="rId19"/>
                    <a:stretch>
                      <a:fillRect/>
                    </a:stretch>
                  </pic:blipFill>
                  <pic:spPr>
                    <a:xfrm>
                      <a:off x="0" y="0"/>
                      <a:ext cx="685800" cy="952500"/>
                    </a:xfrm>
                    <a:prstGeom prst="rect">
                      <a:avLst/>
                    </a:prstGeom>
                  </pic:spPr>
                </pic:pic>
              </a:graphicData>
            </a:graphic>
          </wp:inline>
        </w:drawing>
      </w:r>
    </w:p>
    <w:p w14:paraId="066F25AF">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666750" cy="1038225"/>
            <wp:effectExtent l="0" t="0" r="0" b="0"/>
            <wp:docPr id="100025" name="图片 10002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dOIRD7MIOSHNAx1ODbqMbQ=="/>
                    <pic:cNvPicPr>
                      <a:picLocks noChangeAspect="1"/>
                    </pic:cNvPicPr>
                  </pic:nvPicPr>
                  <pic:blipFill>
                    <a:blip r:embed="rId20"/>
                    <a:stretch>
                      <a:fillRect/>
                    </a:stretch>
                  </pic:blipFill>
                  <pic:spPr>
                    <a:xfrm>
                      <a:off x="0" y="0"/>
                      <a:ext cx="666750" cy="10382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676275" cy="962025"/>
            <wp:effectExtent l="0" t="0" r="0" b="0"/>
            <wp:docPr id="100027" name="图片 100027"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dOIRD7MIOSHNAx1ODbqMbQ=="/>
                    <pic:cNvPicPr>
                      <a:picLocks noChangeAspect="1"/>
                    </pic:cNvPicPr>
                  </pic:nvPicPr>
                  <pic:blipFill>
                    <a:blip r:embed="rId21"/>
                    <a:stretch>
                      <a:fillRect/>
                    </a:stretch>
                  </pic:blipFill>
                  <pic:spPr>
                    <a:xfrm>
                      <a:off x="0" y="0"/>
                      <a:ext cx="676275" cy="962025"/>
                    </a:xfrm>
                    <a:prstGeom prst="rect">
                      <a:avLst/>
                    </a:prstGeom>
                  </pic:spPr>
                </pic:pic>
              </a:graphicData>
            </a:graphic>
          </wp:inline>
        </w:drawing>
      </w:r>
    </w:p>
    <w:p w14:paraId="495C885A">
      <w:pPr>
        <w:spacing w:line="360" w:lineRule="auto"/>
        <w:textAlignment w:val="center"/>
        <w:rPr>
          <w:color w:val="000000"/>
        </w:rPr>
      </w:pPr>
      <w:r>
        <w:rPr>
          <w:color w:val="2E75B6"/>
        </w:rPr>
        <w:t>【答案】</w:t>
      </w:r>
      <w:r>
        <w:rPr>
          <w:color w:val="000000"/>
        </w:rPr>
        <w:t>22. B    23. B</w:t>
      </w:r>
    </w:p>
    <w:p w14:paraId="40EBD47B">
      <w:pPr>
        <w:spacing w:line="360" w:lineRule="auto"/>
        <w:textAlignment w:val="center"/>
        <w:rPr>
          <w:color w:val="000000"/>
        </w:rPr>
      </w:pPr>
      <w:r>
        <w:rPr>
          <w:color w:val="2E75B6"/>
        </w:rPr>
        <w:t>【解析】</w:t>
      </w:r>
    </w:p>
    <w:p w14:paraId="52264437">
      <w:pPr>
        <w:spacing w:line="360" w:lineRule="auto"/>
        <w:textAlignment w:val="center"/>
        <w:rPr>
          <w:color w:val="000000"/>
        </w:rPr>
      </w:pPr>
      <w:r>
        <w:rPr>
          <w:color w:val="000000"/>
        </w:rPr>
        <w:t>【22题详解】</w:t>
      </w:r>
    </w:p>
    <w:p w14:paraId="2FF9E824">
      <w:pPr>
        <w:spacing w:line="360" w:lineRule="auto"/>
        <w:jc w:val="left"/>
        <w:textAlignment w:val="center"/>
        <w:rPr>
          <w:color w:val="000000"/>
        </w:rPr>
      </w:pPr>
      <w:r>
        <w:rPr>
          <w:color w:val="000000"/>
        </w:rPr>
        <w:t>读图，等压线图中锋线往往与低压槽结合在一起，由此可知图中沿锋线从西往东气压先增后减，由等压线形态可知，1023.5hPa位于高压脊位置，故已知点1002.2hPa和1023.5hPa之间气压递增，有三条等压线，由此可计算出等压距为7.5hPa，排除AC；P地相邻等压线为1015hPa，P气压更低，为1007.5—1015hPa。结合选项可知，P点气压可能为1008hPa，B正确，排除D。故选B。</w:t>
      </w:r>
    </w:p>
    <w:p w14:paraId="5C7FC1D0">
      <w:pPr>
        <w:spacing w:line="360" w:lineRule="auto"/>
        <w:jc w:val="left"/>
        <w:textAlignment w:val="center"/>
        <w:rPr>
          <w:color w:val="000000"/>
        </w:rPr>
      </w:pPr>
      <w:r>
        <w:rPr>
          <w:color w:val="000000"/>
        </w:rPr>
        <w:t>【23题详解】</w:t>
      </w:r>
    </w:p>
    <w:p w14:paraId="5B5336BB">
      <w:pPr>
        <w:spacing w:line="360" w:lineRule="auto"/>
        <w:jc w:val="left"/>
        <w:textAlignment w:val="center"/>
        <w:rPr>
          <w:color w:val="000000"/>
        </w:rPr>
      </w:pPr>
      <w:r>
        <w:rPr>
          <w:color w:val="000000"/>
        </w:rPr>
        <w:t>由上题分析可知，图中西侧为低压中心，甲乙之间锋线位于该低压中心右侧低压槽，北半球该锋线按逆时针方向向北移动，为暖锋，甲位于暖锋锋后受单一暖气压控制，气温随海拔升高递减，A错误；乙位于暖锋锋前，锋面下方相对湿度垂直差异不大，锋面上方暖气团抬升相对湿度迅速增大成云致雨，云层上方由于水汽减少相对湿度垂直递减，B正确；同理图中东侧为低压中心，丙丁之间锋线位于该低压中心左侧低压槽，北半球该锋线按逆时针方向向东南移动，为冷锋，丙位于冷锋锋后，锋面下方冷空气挤压气压升高，锋面上方暖气团被迫抬升气压升高，C错误；丁位于冷锋锋前，近地面水平气压梯度力由南指向北，受地转偏向力及摩擦力的共同作用下向右偏转成西南风，随着海拔升高，摩擦力减少，逐渐偏转成偏西风，D错误。故选B。</w:t>
      </w:r>
    </w:p>
    <w:p w14:paraId="0FD76616">
      <w:pPr>
        <w:spacing w:line="360" w:lineRule="auto"/>
        <w:jc w:val="left"/>
        <w:textAlignment w:val="center"/>
        <w:rPr>
          <w:color w:val="000000"/>
        </w:rPr>
      </w:pPr>
      <w:r>
        <w:rPr>
          <w:color w:val="000000"/>
        </w:rPr>
        <w:t>【点睛】锋面一般形成于地面气旋的低压槽中，锋线与槽线重合。气旋西部、西南部是冷锋，气旋东部、东南部是暖锋。</w:t>
      </w:r>
    </w:p>
    <w:p w14:paraId="07AFDCFB">
      <w:pPr>
        <w:spacing w:line="360" w:lineRule="auto"/>
        <w:ind w:firstLine="420"/>
        <w:jc w:val="left"/>
        <w:textAlignment w:val="center"/>
        <w:rPr>
          <w:color w:val="000000"/>
        </w:rPr>
      </w:pPr>
      <w:r>
        <w:rPr>
          <w:rFonts w:ascii="楷体" w:hAnsi="楷体" w:eastAsia="楷体" w:cs="楷体"/>
          <w:color w:val="000000"/>
        </w:rPr>
        <w:t>甲、乙两地天文爱好者进行太阳高度观测。具体做法：在平坦地面上方水平放置一块有一个小孔的遮光板，太阳光透过小孔投影到地面上，形成较清晰的太阳投影。下图为两地天文爱好者在两分、两至日正午时刻，在同高度用相同遮光板观测到的太阳影像地面投影。完成下面小题。</w:t>
      </w:r>
    </w:p>
    <w:p w14:paraId="1A9B95E6">
      <w:pPr>
        <w:spacing w:line="360" w:lineRule="auto"/>
        <w:jc w:val="left"/>
        <w:textAlignment w:val="center"/>
        <w:rPr>
          <w:color w:val="000000"/>
        </w:rPr>
      </w:pPr>
      <w:r>
        <w:rPr>
          <w:color w:val="000000"/>
        </w:rPr>
        <w:drawing>
          <wp:inline distT="0" distB="0" distL="114300" distR="114300">
            <wp:extent cx="3124200" cy="2085975"/>
            <wp:effectExtent l="0" t="0" r="0" b="0"/>
            <wp:docPr id="100029" name="图片 10002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dOIRD7MIOSHNAx1ODbqMbQ=="/>
                    <pic:cNvPicPr>
                      <a:picLocks noChangeAspect="1"/>
                    </pic:cNvPicPr>
                  </pic:nvPicPr>
                  <pic:blipFill>
                    <a:blip r:embed="rId22"/>
                    <a:stretch>
                      <a:fillRect/>
                    </a:stretch>
                  </pic:blipFill>
                  <pic:spPr>
                    <a:xfrm>
                      <a:off x="0" y="0"/>
                      <a:ext cx="3124200" cy="2085975"/>
                    </a:xfrm>
                    <a:prstGeom prst="rect">
                      <a:avLst/>
                    </a:prstGeom>
                  </pic:spPr>
                </pic:pic>
              </a:graphicData>
            </a:graphic>
          </wp:inline>
        </w:drawing>
      </w:r>
    </w:p>
    <w:p w14:paraId="70BBCE6B">
      <w:pPr>
        <w:spacing w:line="360" w:lineRule="auto"/>
        <w:jc w:val="left"/>
        <w:textAlignment w:val="center"/>
        <w:rPr>
          <w:color w:val="000000"/>
        </w:rPr>
      </w:pPr>
      <w:r>
        <w:rPr>
          <w:color w:val="000000"/>
        </w:rPr>
        <w:t xml:space="preserve">24. </w:t>
      </w:r>
      <w:r>
        <w:rPr>
          <w:rFonts w:ascii="宋体" w:hAnsi="宋体" w:eastAsia="宋体" w:cs="宋体"/>
          <w:color w:val="000000"/>
        </w:rPr>
        <w:t>若冬至日，甲、乙两地日落时世界时相同，则甲位于乙的（</w:t>
      </w:r>
      <w:r>
        <w:rPr>
          <w:rFonts w:ascii="Times New Roman" w:hAnsi="Times New Roman" w:eastAsia="Times New Roman" w:cs="Times New Roman"/>
          <w:color w:val="000000"/>
        </w:rPr>
        <w:t xml:space="preserve">   </w:t>
      </w:r>
      <w:r>
        <w:rPr>
          <w:rFonts w:ascii="宋体" w:hAnsi="宋体" w:eastAsia="宋体" w:cs="宋体"/>
          <w:color w:val="000000"/>
        </w:rPr>
        <w:t>）</w:t>
      </w:r>
    </w:p>
    <w:p w14:paraId="0F6210A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东南</w:t>
      </w:r>
      <w:r>
        <w:rPr>
          <w:color w:val="000000"/>
        </w:rPr>
        <w:tab/>
      </w:r>
      <w:r>
        <w:rPr>
          <w:color w:val="000000"/>
        </w:rPr>
        <w:t xml:space="preserve">B. </w:t>
      </w:r>
      <w:r>
        <w:rPr>
          <w:rFonts w:ascii="宋体" w:hAnsi="宋体" w:eastAsia="宋体" w:cs="宋体"/>
          <w:color w:val="000000"/>
        </w:rPr>
        <w:t>东北</w:t>
      </w:r>
      <w:r>
        <w:rPr>
          <w:color w:val="000000"/>
        </w:rPr>
        <w:tab/>
      </w:r>
      <w:r>
        <w:rPr>
          <w:color w:val="000000"/>
        </w:rPr>
        <w:t xml:space="preserve">C. </w:t>
      </w:r>
      <w:r>
        <w:rPr>
          <w:rFonts w:ascii="宋体" w:hAnsi="宋体" w:eastAsia="宋体" w:cs="宋体"/>
          <w:color w:val="000000"/>
        </w:rPr>
        <w:t>西北</w:t>
      </w:r>
      <w:r>
        <w:rPr>
          <w:color w:val="000000"/>
        </w:rPr>
        <w:tab/>
      </w:r>
      <w:r>
        <w:rPr>
          <w:color w:val="000000"/>
        </w:rPr>
        <w:t xml:space="preserve">D. </w:t>
      </w:r>
      <w:r>
        <w:rPr>
          <w:rFonts w:ascii="宋体" w:hAnsi="宋体" w:eastAsia="宋体" w:cs="宋体"/>
          <w:color w:val="000000"/>
        </w:rPr>
        <w:t>西南</w:t>
      </w:r>
    </w:p>
    <w:p w14:paraId="2435EA13">
      <w:pPr>
        <w:spacing w:line="360" w:lineRule="auto"/>
        <w:jc w:val="left"/>
        <w:textAlignment w:val="center"/>
        <w:rPr>
          <w:color w:val="000000"/>
        </w:rPr>
      </w:pPr>
      <w:r>
        <w:rPr>
          <w:color w:val="000000"/>
        </w:rPr>
        <w:t xml:space="preserve">25. </w:t>
      </w:r>
      <w:r>
        <w:rPr>
          <w:rFonts w:ascii="宋体" w:hAnsi="宋体" w:eastAsia="宋体" w:cs="宋体"/>
          <w:color w:val="000000"/>
        </w:rPr>
        <w:t>两地正午太阳高度之差（</w:t>
      </w:r>
      <w:r>
        <w:rPr>
          <w:rFonts w:ascii="Cambria Math" w:hAnsi="Cambria Math" w:eastAsia="Cambria Math" w:cs="Cambria Math"/>
          <w:color w:val="000000"/>
        </w:rPr>
        <w:t>△</w:t>
      </w:r>
      <w:r>
        <w:rPr>
          <w:rFonts w:ascii="Times New Roman" w:hAnsi="Times New Roman" w:eastAsia="Times New Roman" w:cs="Times New Roman"/>
          <w:color w:val="000000"/>
        </w:rPr>
        <w:t>h</w:t>
      </w:r>
      <w:r>
        <w:rPr>
          <w:rFonts w:ascii="宋体" w:hAnsi="宋体" w:eastAsia="宋体" w:cs="宋体"/>
          <w:color w:val="000000"/>
        </w:rPr>
        <w:t>）年变化有可能的是（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DB7837F">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2028825" cy="1143000"/>
            <wp:effectExtent l="0" t="0" r="0" b="0"/>
            <wp:docPr id="100031" name="图片 10003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dOIRD7MIOSHNAx1ODbqMbQ=="/>
                    <pic:cNvPicPr>
                      <a:picLocks noChangeAspect="1"/>
                    </pic:cNvPicPr>
                  </pic:nvPicPr>
                  <pic:blipFill>
                    <a:blip r:embed="rId23"/>
                    <a:stretch>
                      <a:fillRect/>
                    </a:stretch>
                  </pic:blipFill>
                  <pic:spPr>
                    <a:xfrm>
                      <a:off x="0" y="0"/>
                      <a:ext cx="2028825" cy="11430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2066925" cy="1162050"/>
            <wp:effectExtent l="0" t="0" r="0" b="0"/>
            <wp:docPr id="100033" name="图片 10003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dOIRD7MIOSHNAx1ODbqMbQ=="/>
                    <pic:cNvPicPr>
                      <a:picLocks noChangeAspect="1"/>
                    </pic:cNvPicPr>
                  </pic:nvPicPr>
                  <pic:blipFill>
                    <a:blip r:embed="rId24"/>
                    <a:stretch>
                      <a:fillRect/>
                    </a:stretch>
                  </pic:blipFill>
                  <pic:spPr>
                    <a:xfrm>
                      <a:off x="0" y="0"/>
                      <a:ext cx="2066925" cy="1162050"/>
                    </a:xfrm>
                    <a:prstGeom prst="rect">
                      <a:avLst/>
                    </a:prstGeom>
                  </pic:spPr>
                </pic:pic>
              </a:graphicData>
            </a:graphic>
          </wp:inline>
        </w:drawing>
      </w:r>
    </w:p>
    <w:p w14:paraId="05880BDD">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distT="0" distB="0" distL="114300" distR="114300">
            <wp:extent cx="2009775" cy="1123950"/>
            <wp:effectExtent l="0" t="0" r="0" b="0"/>
            <wp:docPr id="100035" name="图片 100035"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dOIRD7MIOSHNAx1ODbqMbQ=="/>
                    <pic:cNvPicPr>
                      <a:picLocks noChangeAspect="1"/>
                    </pic:cNvPicPr>
                  </pic:nvPicPr>
                  <pic:blipFill>
                    <a:blip r:embed="rId25"/>
                    <a:stretch>
                      <a:fillRect/>
                    </a:stretch>
                  </pic:blipFill>
                  <pic:spPr>
                    <a:xfrm>
                      <a:off x="0" y="0"/>
                      <a:ext cx="2009775" cy="11239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2047875" cy="1200150"/>
            <wp:effectExtent l="0" t="0" r="0" b="0"/>
            <wp:docPr id="578220944" name="图片 578220944"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20944" name="图片 578220944" descr="学科网(www.zxxk.com)--教育资源门户，提供试卷、教案、课件、论文、素材以及各类教学资源下载，还有大量而丰富的教学相关资讯！ dOIRD7MIOSHNAx1ODbqMbQ=="/>
                    <pic:cNvPicPr>
                      <a:picLocks noChangeAspect="1"/>
                    </pic:cNvPicPr>
                  </pic:nvPicPr>
                  <pic:blipFill>
                    <a:blip r:embed="rId26"/>
                    <a:stretch>
                      <a:fillRect/>
                    </a:stretch>
                  </pic:blipFill>
                  <pic:spPr>
                    <a:xfrm>
                      <a:off x="0" y="0"/>
                      <a:ext cx="2047875" cy="1200150"/>
                    </a:xfrm>
                    <a:prstGeom prst="rect">
                      <a:avLst/>
                    </a:prstGeom>
                  </pic:spPr>
                </pic:pic>
              </a:graphicData>
            </a:graphic>
          </wp:inline>
        </w:drawing>
      </w:r>
    </w:p>
    <w:p w14:paraId="50858DB6">
      <w:pPr>
        <w:spacing w:line="360" w:lineRule="auto"/>
        <w:textAlignment w:val="center"/>
        <w:rPr>
          <w:color w:val="000000"/>
        </w:rPr>
      </w:pPr>
      <w:r>
        <w:rPr>
          <w:color w:val="2E75B6"/>
        </w:rPr>
        <w:t>【答案】</w:t>
      </w:r>
      <w:r>
        <w:rPr>
          <w:color w:val="000000"/>
        </w:rPr>
        <w:t>24. A    25. C</w:t>
      </w:r>
    </w:p>
    <w:p w14:paraId="74CEBD95">
      <w:pPr>
        <w:spacing w:line="360" w:lineRule="auto"/>
        <w:textAlignment w:val="center"/>
        <w:rPr>
          <w:color w:val="000000"/>
        </w:rPr>
      </w:pPr>
      <w:r>
        <w:rPr>
          <w:color w:val="2E75B6"/>
        </w:rPr>
        <w:t>【解析】</w:t>
      </w:r>
    </w:p>
    <w:p w14:paraId="2522B0C2">
      <w:pPr>
        <w:spacing w:line="360" w:lineRule="auto"/>
        <w:textAlignment w:val="center"/>
        <w:rPr>
          <w:color w:val="000000"/>
        </w:rPr>
      </w:pPr>
      <w:r>
        <w:rPr>
          <w:color w:val="000000"/>
        </w:rPr>
        <w:t>【24题详解】</w:t>
      </w:r>
    </w:p>
    <w:p w14:paraId="0C7A6BD5">
      <w:pPr>
        <w:spacing w:line="360" w:lineRule="auto"/>
        <w:jc w:val="left"/>
        <w:textAlignment w:val="center"/>
        <w:rPr>
          <w:color w:val="000000"/>
        </w:rPr>
      </w:pPr>
      <w:r>
        <w:rPr>
          <w:color w:val="000000"/>
        </w:rPr>
        <w:t>读图，甲图中两至两分日有三天正午太阳投影在小孔垂直投影点的南侧，一天在其北侧，说明甲地位于赤道与南回归归之间，且靠近南回归线；乙图中两至两分日有三天正午太阳投影在小孔垂直投影点的北侧，一天在其南侧，说明乙位于赤道与北回归线之间，且靠近北回归线，故甲在乙的南侧；冬至日，甲、乙两地日落时世界时相同（假设世界时即0°经度地方时为18时），甲位于南半球，昼长夜短，日落地方时晚于18时，在0°经线以东，乙位于北半球，昼短夜长，日落地方时早于18时，在0°经线以西，故甲在乙的东边。综上所述，甲地位于乙地的东南方向，A正确，排除BCD。故选A。</w:t>
      </w:r>
    </w:p>
    <w:p w14:paraId="0B31A4C1">
      <w:pPr>
        <w:spacing w:line="360" w:lineRule="auto"/>
        <w:jc w:val="left"/>
        <w:textAlignment w:val="center"/>
        <w:rPr>
          <w:color w:val="000000"/>
        </w:rPr>
      </w:pPr>
      <w:r>
        <w:rPr>
          <w:color w:val="000000"/>
        </w:rPr>
        <w:t>【25题详解】</w:t>
      </w:r>
    </w:p>
    <w:p w14:paraId="0BEAD398">
      <w:pPr>
        <w:spacing w:line="360" w:lineRule="auto"/>
        <w:jc w:val="left"/>
        <w:textAlignment w:val="center"/>
        <w:rPr>
          <w:color w:val="000000"/>
        </w:rPr>
      </w:pPr>
      <w:r>
        <w:rPr>
          <w:color w:val="000000"/>
        </w:rPr>
        <w:t>观</w:t>
      </w:r>
      <w:r>
        <w:rPr>
          <w:rFonts w:ascii="宋体" w:hAnsi="宋体" w:eastAsia="宋体" w:cs="宋体"/>
          <w:color w:val="000000"/>
        </w:rPr>
        <w:t>察图形，可知甲乙两地关于赤道对称，两分日正午太阳高度相等，两地正午太阳高度之差（△h）为0，排除AB；由正午太阳高度的计算公式可得，两地正午太阳高度之差=两地纬距差（纬距差即该地与直射点的纬度差），由上题分析可知，甲乙两地位于南北归线之间（均靠近回归线），当太阳直射点移至两地同侧时（太阳直射点在两地以北或以南），两地正午太阳高度之差（△h）相同达最大值（两地纬距差最大且相等），即当太阳直射点移至乙地以北、夏至日前后，和太阳直射点移至甲地以南、冬至日前后，两地正午太阳高度之差（△h）相同达一年中的最大值，观察选项可知，C正确，排除D。故选C。</w:t>
      </w:r>
    </w:p>
    <w:p w14:paraId="0F8D82B9">
      <w:pPr>
        <w:spacing w:line="360" w:lineRule="auto"/>
        <w:jc w:val="left"/>
        <w:textAlignment w:val="center"/>
        <w:rPr>
          <w:color w:val="000000"/>
        </w:rPr>
      </w:pPr>
      <w:r>
        <w:rPr>
          <w:color w:val="000000"/>
        </w:rPr>
        <w:t>【点睛】</w:t>
      </w:r>
      <w:r>
        <w:rPr>
          <w:rFonts w:ascii="宋体" w:hAnsi="宋体" w:eastAsia="宋体" w:cs="宋体"/>
          <w:color w:val="000000"/>
        </w:rPr>
        <w:t>赤道地区和南北两极地区的年正午太阳高度最大差值均为23°26′。0°到南北纬23°26′之间的地区(或热带地区)，年正午太阳高度最大差值从23°26′增大到46°52′。南北纬23°26′到南北纬66°34′之间的地区(或南北温带)，年正午太阳高度最大差值均为46°52′。南北纬66°34′至极点之间的地区(或南北寒带)，年正午太阳高度最大差值从46°52′减小23°26′。</w:t>
      </w:r>
    </w:p>
    <w:p w14:paraId="20803C41">
      <w:pPr>
        <w:spacing w:line="360" w:lineRule="auto"/>
        <w:jc w:val="center"/>
        <w:textAlignment w:val="center"/>
        <w:rPr>
          <w:color w:val="000000"/>
        </w:rPr>
      </w:pPr>
      <w:r>
        <w:rPr>
          <w:rFonts w:ascii="宋体" w:hAnsi="宋体" w:eastAsia="宋体" w:cs="宋体"/>
          <w:b/>
          <w:color w:val="000000"/>
          <w:sz w:val="24"/>
        </w:rPr>
        <w:t>非选择题部分</w:t>
      </w:r>
    </w:p>
    <w:p w14:paraId="2F7A9697">
      <w:pPr>
        <w:spacing w:line="360"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50</w:t>
      </w:r>
      <w:r>
        <w:rPr>
          <w:rFonts w:ascii="宋体" w:hAnsi="宋体" w:eastAsia="宋体" w:cs="宋体"/>
          <w:b/>
          <w:color w:val="000000"/>
          <w:sz w:val="24"/>
        </w:rPr>
        <w:t>分）</w:t>
      </w:r>
    </w:p>
    <w:p w14:paraId="5290EC19">
      <w:pPr>
        <w:spacing w:line="360" w:lineRule="auto"/>
        <w:jc w:val="left"/>
        <w:textAlignment w:val="center"/>
        <w:rPr>
          <w:color w:val="000000"/>
        </w:rPr>
      </w:pPr>
      <w:r>
        <w:rPr>
          <w:color w:val="000000"/>
        </w:rPr>
        <w:t xml:space="preserve">26. </w:t>
      </w:r>
      <w:r>
        <w:rPr>
          <w:rFonts w:ascii="宋体" w:hAnsi="宋体" w:eastAsia="宋体" w:cs="宋体"/>
          <w:color w:val="000000"/>
        </w:rPr>
        <w:t>阅读材料，完成下列问题。</w:t>
      </w:r>
    </w:p>
    <w:p w14:paraId="667C19CC">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20</w:t>
      </w:r>
      <w:r>
        <w:rPr>
          <w:rFonts w:ascii="楷体" w:hAnsi="楷体" w:eastAsia="楷体" w:cs="楷体"/>
          <w:color w:val="000000"/>
        </w:rPr>
        <w:t>世纪</w:t>
      </w:r>
      <w:r>
        <w:rPr>
          <w:rFonts w:ascii="Times New Roman" w:hAnsi="Times New Roman" w:eastAsia="Times New Roman" w:cs="Times New Roman"/>
          <w:color w:val="000000"/>
        </w:rPr>
        <w:t>60~70</w:t>
      </w:r>
      <w:r>
        <w:rPr>
          <w:rFonts w:ascii="楷体" w:hAnsi="楷体" w:eastAsia="楷体" w:cs="楷体"/>
          <w:color w:val="000000"/>
        </w:rPr>
        <w:t>年代，巴西经济快速发展，建立起较为完整的工业体系，成为拉美地区最大的中等收入国家。</w:t>
      </w:r>
      <w:r>
        <w:rPr>
          <w:rFonts w:ascii="Times New Roman" w:hAnsi="Times New Roman" w:eastAsia="Times New Roman" w:cs="Times New Roman"/>
          <w:color w:val="000000"/>
        </w:rPr>
        <w:t>90</w:t>
      </w:r>
      <w:r>
        <w:rPr>
          <w:rFonts w:ascii="楷体" w:hAnsi="楷体" w:eastAsia="楷体" w:cs="楷体"/>
          <w:color w:val="000000"/>
        </w:rPr>
        <w:t>年代以来，巴西转向外向型经济发展模式，因竞争力不足，工业在</w:t>
      </w:r>
      <w:r>
        <w:rPr>
          <w:rFonts w:ascii="Times New Roman" w:hAnsi="Times New Roman" w:eastAsia="Times New Roman" w:cs="Times New Roman"/>
          <w:color w:val="000000"/>
        </w:rPr>
        <w:t>GDP</w:t>
      </w:r>
      <w:r>
        <w:rPr>
          <w:rFonts w:ascii="楷体" w:hAnsi="楷体" w:eastAsia="楷体" w:cs="楷体"/>
          <w:color w:val="000000"/>
        </w:rPr>
        <w:t>中的比重下降，出现</w:t>
      </w:r>
      <w:r>
        <w:rPr>
          <w:rFonts w:ascii="Times New Roman" w:hAnsi="Times New Roman" w:eastAsia="Times New Roman" w:cs="Times New Roman"/>
          <w:color w:val="000000"/>
        </w:rPr>
        <w:t>“</w:t>
      </w:r>
      <w:r>
        <w:rPr>
          <w:rFonts w:ascii="楷体" w:hAnsi="楷体" w:eastAsia="楷体" w:cs="楷体"/>
          <w:color w:val="000000"/>
        </w:rPr>
        <w:t>去工业化</w:t>
      </w:r>
      <w:r>
        <w:rPr>
          <w:rFonts w:ascii="Times New Roman" w:hAnsi="Times New Roman" w:eastAsia="Times New Roman" w:cs="Times New Roman"/>
          <w:color w:val="000000"/>
        </w:rPr>
        <w:t>”</w:t>
      </w:r>
      <w:r>
        <w:rPr>
          <w:rFonts w:ascii="楷体" w:hAnsi="楷体" w:eastAsia="楷体" w:cs="楷体"/>
          <w:color w:val="000000"/>
        </w:rPr>
        <w:t>趋势，政府负债居高不下。</w:t>
      </w:r>
    </w:p>
    <w:p w14:paraId="0A613F39">
      <w:pPr>
        <w:spacing w:line="360" w:lineRule="auto"/>
        <w:ind w:firstLine="420"/>
        <w:jc w:val="left"/>
        <w:textAlignment w:val="center"/>
        <w:rPr>
          <w:color w:val="000000"/>
        </w:rPr>
      </w:pPr>
      <w:r>
        <w:rPr>
          <w:rFonts w:ascii="楷体" w:hAnsi="楷体" w:eastAsia="楷体" w:cs="楷体"/>
          <w:color w:val="000000"/>
        </w:rPr>
        <w:t>材料二：巴西总人口约</w:t>
      </w:r>
      <w:r>
        <w:rPr>
          <w:rFonts w:ascii="Times New Roman" w:hAnsi="Times New Roman" w:eastAsia="Times New Roman" w:cs="Times New Roman"/>
          <w:color w:val="000000"/>
        </w:rPr>
        <w:t>2</w:t>
      </w:r>
      <w:r>
        <w:rPr>
          <w:rFonts w:ascii="楷体" w:hAnsi="楷体" w:eastAsia="楷体" w:cs="楷体"/>
          <w:color w:val="000000"/>
        </w:rPr>
        <w:t>亿，农业用地约</w:t>
      </w:r>
      <w:r>
        <w:rPr>
          <w:rFonts w:ascii="Times New Roman" w:hAnsi="Times New Roman" w:eastAsia="Times New Roman" w:cs="Times New Roman"/>
          <w:color w:val="000000"/>
        </w:rPr>
        <w:t>2.4</w:t>
      </w:r>
      <w:r>
        <w:rPr>
          <w:rFonts w:ascii="楷体" w:hAnsi="楷体" w:eastAsia="楷体" w:cs="楷体"/>
          <w:color w:val="000000"/>
        </w:rPr>
        <w:t>亿公顷，农业和采矿业发展较快，是全球农矿产品出口大国。几十年来，巴西城镇化水平持续上升，</w:t>
      </w:r>
      <w:r>
        <w:rPr>
          <w:rFonts w:ascii="Times New Roman" w:hAnsi="Times New Roman" w:eastAsia="Times New Roman" w:cs="Times New Roman"/>
          <w:color w:val="000000"/>
        </w:rPr>
        <w:t>2022</w:t>
      </w:r>
      <w:r>
        <w:rPr>
          <w:rFonts w:ascii="楷体" w:hAnsi="楷体" w:eastAsia="楷体" w:cs="楷体"/>
          <w:color w:val="000000"/>
        </w:rPr>
        <w:t>年达</w:t>
      </w:r>
      <w:r>
        <w:rPr>
          <w:rFonts w:ascii="Times New Roman" w:hAnsi="Times New Roman" w:eastAsia="Times New Roman" w:cs="Times New Roman"/>
          <w:color w:val="000000"/>
        </w:rPr>
        <w:t>87.6%</w:t>
      </w:r>
      <w:r>
        <w:rPr>
          <w:rFonts w:ascii="楷体" w:hAnsi="楷体" w:eastAsia="楷体" w:cs="楷体"/>
          <w:color w:val="000000"/>
        </w:rPr>
        <w:t>，</w:t>
      </w:r>
      <w:r>
        <w:rPr>
          <w:rFonts w:ascii="Times New Roman" w:hAnsi="Times New Roman" w:eastAsia="Times New Roman" w:cs="Times New Roman"/>
          <w:color w:val="000000"/>
        </w:rPr>
        <w:t>“</w:t>
      </w:r>
      <w:r>
        <w:rPr>
          <w:rFonts w:ascii="楷体" w:hAnsi="楷体" w:eastAsia="楷体" w:cs="楷体"/>
          <w:color w:val="000000"/>
        </w:rPr>
        <w:t>虚假城镇化</w:t>
      </w:r>
      <w:r>
        <w:rPr>
          <w:rFonts w:ascii="Times New Roman" w:hAnsi="Times New Roman" w:eastAsia="Times New Roman" w:cs="Times New Roman"/>
          <w:color w:val="000000"/>
        </w:rPr>
        <w:t>”</w:t>
      </w:r>
      <w:r>
        <w:rPr>
          <w:rFonts w:ascii="楷体" w:hAnsi="楷体" w:eastAsia="楷体" w:cs="楷体"/>
          <w:color w:val="000000"/>
        </w:rPr>
        <w:t>和</w:t>
      </w:r>
      <w:r>
        <w:rPr>
          <w:rFonts w:ascii="Times New Roman" w:hAnsi="Times New Roman" w:eastAsia="Times New Roman" w:cs="Times New Roman"/>
          <w:color w:val="000000"/>
        </w:rPr>
        <w:t>“</w:t>
      </w:r>
      <w:r>
        <w:rPr>
          <w:rFonts w:ascii="楷体" w:hAnsi="楷体" w:eastAsia="楷体" w:cs="楷体"/>
          <w:color w:val="000000"/>
        </w:rPr>
        <w:t>城镇贫困</w:t>
      </w:r>
      <w:r>
        <w:rPr>
          <w:rFonts w:ascii="Times New Roman" w:hAnsi="Times New Roman" w:eastAsia="Times New Roman" w:cs="Times New Roman"/>
          <w:color w:val="000000"/>
        </w:rPr>
        <w:t>”</w:t>
      </w:r>
      <w:r>
        <w:rPr>
          <w:rFonts w:ascii="楷体" w:hAnsi="楷体" w:eastAsia="楷体" w:cs="楷体"/>
          <w:color w:val="000000"/>
        </w:rPr>
        <w:t>问题突出。图</w:t>
      </w:r>
      <w:r>
        <w:rPr>
          <w:rFonts w:ascii="Times New Roman" w:hAnsi="Times New Roman" w:eastAsia="Times New Roman" w:cs="Times New Roman"/>
          <w:color w:val="000000"/>
        </w:rPr>
        <w:t>1</w:t>
      </w:r>
      <w:r>
        <w:rPr>
          <w:rFonts w:ascii="楷体" w:hAnsi="楷体" w:eastAsia="楷体" w:cs="楷体"/>
          <w:color w:val="000000"/>
        </w:rPr>
        <w:t>为巴西略图。图</w:t>
      </w:r>
      <w:r>
        <w:rPr>
          <w:rFonts w:ascii="Times New Roman" w:hAnsi="Times New Roman" w:eastAsia="Times New Roman" w:cs="Times New Roman"/>
          <w:color w:val="000000"/>
        </w:rPr>
        <w:t>2</w:t>
      </w:r>
      <w:r>
        <w:rPr>
          <w:rFonts w:ascii="楷体" w:hAnsi="楷体" w:eastAsia="楷体" w:cs="楷体"/>
          <w:color w:val="000000"/>
        </w:rPr>
        <w:t>为</w:t>
      </w:r>
      <w:r>
        <w:rPr>
          <w:rFonts w:ascii="Times New Roman" w:hAnsi="Times New Roman" w:eastAsia="Times New Roman" w:cs="Times New Roman"/>
          <w:color w:val="000000"/>
        </w:rPr>
        <w:t>2004~2022</w:t>
      </w:r>
      <w:r>
        <w:rPr>
          <w:rFonts w:ascii="楷体" w:hAnsi="楷体" w:eastAsia="楷体" w:cs="楷体"/>
          <w:color w:val="000000"/>
        </w:rPr>
        <w:t>年巴西农业劳动力和农业产值统计图。</w:t>
      </w:r>
    </w:p>
    <w:p w14:paraId="0674EA1D">
      <w:pPr>
        <w:spacing w:line="360" w:lineRule="auto"/>
        <w:jc w:val="left"/>
        <w:textAlignment w:val="center"/>
        <w:rPr>
          <w:color w:val="000000"/>
        </w:rPr>
      </w:pPr>
      <w:r>
        <w:rPr>
          <w:color w:val="000000"/>
        </w:rPr>
        <w:drawing>
          <wp:inline distT="0" distB="0" distL="114300" distR="114300">
            <wp:extent cx="4514850" cy="2486025"/>
            <wp:effectExtent l="0" t="0" r="0" b="0"/>
            <wp:docPr id="100039" name="图片 100039"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dOIRD7MIOSHNAx1ODbqMbQ=="/>
                    <pic:cNvPicPr>
                      <a:picLocks noChangeAspect="1"/>
                    </pic:cNvPicPr>
                  </pic:nvPicPr>
                  <pic:blipFill>
                    <a:blip r:embed="rId27"/>
                    <a:stretch>
                      <a:fillRect/>
                    </a:stretch>
                  </pic:blipFill>
                  <pic:spPr>
                    <a:xfrm>
                      <a:off x="0" y="0"/>
                      <a:ext cx="4514850" cy="2486025"/>
                    </a:xfrm>
                    <a:prstGeom prst="rect">
                      <a:avLst/>
                    </a:prstGeom>
                  </pic:spPr>
                </pic:pic>
              </a:graphicData>
            </a:graphic>
          </wp:inline>
        </w:drawing>
      </w:r>
    </w:p>
    <w:p w14:paraId="779C1CCB">
      <w:pPr>
        <w:spacing w:line="360" w:lineRule="auto"/>
        <w:jc w:val="left"/>
        <w:textAlignment w:val="center"/>
        <w:rPr>
          <w:color w:val="000000"/>
        </w:rPr>
      </w:pPr>
      <w:r>
        <w:rPr>
          <w:color w:val="000000"/>
        </w:rPr>
        <w:t>（1）</w:t>
      </w:r>
      <w:r>
        <w:rPr>
          <w:rFonts w:ascii="宋体" w:hAnsi="宋体" w:eastAsia="宋体" w:cs="宋体"/>
          <w:color w:val="000000"/>
        </w:rPr>
        <w:t>内河水运</w:t>
      </w:r>
      <w:r>
        <w:rPr>
          <w:rFonts w:ascii="宋体" w:hAnsi="宋体" w:eastAsia="宋体" w:cs="宋体"/>
          <w:color w:val="000000"/>
          <w:position w:val="-1"/>
        </w:rPr>
        <w:drawing>
          <wp:inline distT="0" distB="0" distL="114300" distR="114300">
            <wp:extent cx="139700" cy="1905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28"/>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巴西国内货物运输中占比较低，简述其原因。</w:t>
      </w:r>
    </w:p>
    <w:p w14:paraId="3C9720E0">
      <w:pPr>
        <w:spacing w:line="360" w:lineRule="auto"/>
        <w:jc w:val="left"/>
        <w:textAlignment w:val="center"/>
        <w:rPr>
          <w:color w:val="000000"/>
        </w:rPr>
      </w:pPr>
      <w:r>
        <w:rPr>
          <w:color w:val="000000"/>
        </w:rPr>
        <w:t>（2）</w:t>
      </w:r>
      <w:r>
        <w:rPr>
          <w:rFonts w:ascii="宋体" w:hAnsi="宋体" w:eastAsia="宋体" w:cs="宋体"/>
          <w:color w:val="000000"/>
        </w:rPr>
        <w:t>从竞争力角度，简析巴西工业比重下降的原因。</w:t>
      </w:r>
    </w:p>
    <w:p w14:paraId="393F0FBD">
      <w:pPr>
        <w:spacing w:line="360" w:lineRule="auto"/>
        <w:jc w:val="left"/>
        <w:textAlignment w:val="center"/>
        <w:rPr>
          <w:color w:val="000000"/>
        </w:rPr>
      </w:pPr>
      <w:r>
        <w:rPr>
          <w:color w:val="000000"/>
        </w:rPr>
        <w:t>（3）</w:t>
      </w:r>
      <w:r>
        <w:rPr>
          <w:rFonts w:ascii="宋体" w:hAnsi="宋体" w:eastAsia="宋体" w:cs="宋体"/>
          <w:color w:val="000000"/>
        </w:rPr>
        <w:t>分析巴西农业发展促进城镇化水平上升的原因。</w:t>
      </w:r>
    </w:p>
    <w:p w14:paraId="3F350E75">
      <w:pPr>
        <w:spacing w:line="360" w:lineRule="auto"/>
        <w:textAlignment w:val="center"/>
        <w:rPr>
          <w:color w:val="000000"/>
        </w:rPr>
      </w:pPr>
      <w:r>
        <w:rPr>
          <w:color w:val="2E75B6"/>
        </w:rPr>
        <w:t>【答案】</w:t>
      </w:r>
      <w:r>
        <w:rPr>
          <w:color w:val="000000"/>
        </w:rPr>
        <w:t>（1）</w:t>
      </w:r>
      <w:r>
        <w:rPr>
          <w:rFonts w:ascii="宋体" w:hAnsi="宋体" w:eastAsia="宋体" w:cs="宋体"/>
          <w:color w:val="000000"/>
        </w:rPr>
        <w:t>巴西东南沿海经济发达，内河水运条件较差，陆路货运量大；北部亚马孙河水运条件优越，但经济不发达，水运量较小。</w:t>
      </w:r>
      <w:r>
        <w:rPr>
          <w:color w:val="000000"/>
        </w:rPr>
        <w:t xml:space="preserve">    </w:t>
      </w:r>
    </w:p>
    <w:p w14:paraId="5E593BD5">
      <w:pPr>
        <w:spacing w:line="360" w:lineRule="auto"/>
        <w:textAlignment w:val="center"/>
        <w:rPr>
          <w:color w:val="000000"/>
        </w:rPr>
      </w:pPr>
      <w:r>
        <w:rPr>
          <w:color w:val="000000"/>
        </w:rPr>
        <w:t>（2）</w:t>
      </w:r>
      <w:r>
        <w:rPr>
          <w:rFonts w:ascii="宋体" w:hAnsi="宋体" w:eastAsia="宋体" w:cs="宋体"/>
          <w:color w:val="000000"/>
        </w:rPr>
        <w:t>劳动力成本较高，劳动密集型工业成本优势较弱；技术研发投入不足，工业技术落后，技术密集型工业竞争力不强。</w:t>
      </w:r>
      <w:r>
        <w:rPr>
          <w:color w:val="000000"/>
        </w:rPr>
        <w:t xml:space="preserve">    </w:t>
      </w:r>
    </w:p>
    <w:p w14:paraId="2F62664E">
      <w:pPr>
        <w:spacing w:line="360" w:lineRule="auto"/>
        <w:textAlignment w:val="center"/>
        <w:rPr>
          <w:color w:val="000000"/>
        </w:rPr>
      </w:pPr>
      <w:r>
        <w:rPr>
          <w:color w:val="000000"/>
        </w:rPr>
        <w:t>（3）</w:t>
      </w:r>
      <w:r>
        <w:rPr>
          <w:rFonts w:ascii="宋体" w:hAnsi="宋体" w:eastAsia="宋体" w:cs="宋体"/>
          <w:color w:val="000000"/>
        </w:rPr>
        <w:t>农业用地人均占有量大，分布集中连片；劳动力成本较高；使用大型农业机械，实施规模化生产；农业劳动力过剩，农村人口向城镇迁移，促进城镇化水平上升</w:t>
      </w:r>
      <w:r>
        <w:rPr>
          <w:rFonts w:ascii="宋体" w:hAnsi="宋体" w:eastAsia="宋体" w:cs="宋体"/>
          <w:color w:val="000000"/>
          <w:position w:val="-12"/>
        </w:rPr>
        <w:drawing>
          <wp:inline distT="0" distB="0" distL="114300" distR="114300">
            <wp:extent cx="127000" cy="762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29"/>
                    <a:stretch>
                      <a:fillRect/>
                    </a:stretch>
                  </pic:blipFill>
                  <pic:spPr>
                    <a:xfrm>
                      <a:off x="0" y="0"/>
                      <a:ext cx="127000" cy="76200"/>
                    </a:xfrm>
                    <a:prstGeom prst="rect">
                      <a:avLst/>
                    </a:prstGeom>
                  </pic:spPr>
                </pic:pic>
              </a:graphicData>
            </a:graphic>
          </wp:inline>
        </w:drawing>
      </w:r>
    </w:p>
    <w:p w14:paraId="5E7B96FE">
      <w:pPr>
        <w:spacing w:line="360" w:lineRule="auto"/>
        <w:textAlignment w:val="center"/>
        <w:rPr>
          <w:color w:val="000000"/>
        </w:rPr>
      </w:pPr>
      <w:r>
        <w:rPr>
          <w:color w:val="2E75B6"/>
        </w:rPr>
        <w:t>【解析】</w:t>
      </w:r>
    </w:p>
    <w:p w14:paraId="6556BC9B">
      <w:pPr>
        <w:spacing w:line="360" w:lineRule="auto"/>
        <w:jc w:val="left"/>
        <w:textAlignment w:val="center"/>
        <w:rPr>
          <w:color w:val="000000"/>
        </w:rPr>
      </w:pPr>
      <w:r>
        <w:rPr>
          <w:color w:val="000000"/>
        </w:rPr>
        <w:t>【分析】本题以巴西经济发展为背景，设置3小题，涉及巴西的交通、工业和城镇化率等相关知识，考查学生获取解读信息、调动运用知识的能力，体现了区域认知、综合思维及地理实践力的学科素养。</w:t>
      </w:r>
    </w:p>
    <w:p w14:paraId="6962CFBD">
      <w:pPr>
        <w:spacing w:line="360" w:lineRule="auto"/>
        <w:jc w:val="left"/>
        <w:textAlignment w:val="center"/>
        <w:rPr>
          <w:color w:val="000000"/>
        </w:rPr>
      </w:pPr>
      <w:r>
        <w:rPr>
          <w:color w:val="000000"/>
        </w:rPr>
        <w:t>【小问1详解】</w:t>
      </w:r>
    </w:p>
    <w:p w14:paraId="0D500D2B">
      <w:pPr>
        <w:spacing w:line="360" w:lineRule="auto"/>
        <w:jc w:val="left"/>
        <w:textAlignment w:val="center"/>
        <w:rPr>
          <w:color w:val="000000"/>
        </w:rPr>
      </w:pPr>
      <w:r>
        <w:rPr>
          <w:color w:val="000000"/>
        </w:rPr>
        <w:t>读图1联系已学可知，巴西东南沿海经济发达，河流受降水季节变化大的影响，且河流间没有运河沟通，不能形成便利水运网络，水运条件较差，铁路等陆路交通形成放射式路网，陆路的货运量大；北部亚马孙河水量充沛、水流平缓，水运条件优越，但由于气候过于潮湿闷热，人口、城市稀少，经济不发达，水运量较小。综上所述，内河水运在巴西国内货物运输中占比较低。</w:t>
      </w:r>
    </w:p>
    <w:p w14:paraId="395F5FB9">
      <w:pPr>
        <w:spacing w:line="360" w:lineRule="auto"/>
        <w:jc w:val="left"/>
        <w:textAlignment w:val="center"/>
        <w:rPr>
          <w:color w:val="000000"/>
        </w:rPr>
      </w:pPr>
      <w:r>
        <w:rPr>
          <w:color w:val="000000"/>
        </w:rPr>
        <w:t>【小问2详解】</w:t>
      </w:r>
    </w:p>
    <w:p w14:paraId="161DD993">
      <w:pPr>
        <w:spacing w:line="360" w:lineRule="auto"/>
        <w:jc w:val="left"/>
        <w:textAlignment w:val="center"/>
        <w:rPr>
          <w:color w:val="000000"/>
        </w:rPr>
      </w:pPr>
      <w:r>
        <w:rPr>
          <w:color w:val="000000"/>
        </w:rPr>
        <w:t xml:space="preserve"> 据材料一可知，巴西“成为拉美地区最大的中等收入国家”，由此可知巴西劳动力成本较高，发展劳动密集型工业，与拉美地区其它发展中国家相比，没有成本优势；与发达国家相比，巴西在科技研发投入相对较少，技术研发投入不足，导致工业技术落后，技术密集型工业竞争力不强。</w:t>
      </w:r>
    </w:p>
    <w:p w14:paraId="1D42F7A5">
      <w:pPr>
        <w:spacing w:line="360" w:lineRule="auto"/>
        <w:jc w:val="left"/>
        <w:textAlignment w:val="center"/>
        <w:rPr>
          <w:color w:val="000000"/>
        </w:rPr>
      </w:pPr>
      <w:r>
        <w:rPr>
          <w:color w:val="000000"/>
        </w:rPr>
        <w:t>【小问3详解】</w:t>
      </w:r>
    </w:p>
    <w:p w14:paraId="10A4D701">
      <w:pPr>
        <w:spacing w:line="360" w:lineRule="auto"/>
        <w:jc w:val="left"/>
        <w:textAlignment w:val="center"/>
        <w:rPr>
          <w:color w:val="000000"/>
        </w:rPr>
      </w:pPr>
      <w:r>
        <w:rPr>
          <w:color w:val="000000"/>
        </w:rPr>
        <w:t>据材料二可知，巴西总人口约2亿，农业用地约2.4亿公顷，农业用地人均1公顷，由此可知农业用地人均占有量大；巴西地形以高原平原为主，地形平坦开阔，耕地集中连片分布，有利于农业机机械化生产；读图2结合上题分析可知，巴西劳动力成本较高，为降低生产成本，使用大型农业机械，实施规模化生产，农业产值迅速升高，同时机械化生产导致农业劳动力过剩，农业劳动力不断减少，农村人口为寻找就业机会向城镇迁移，城镇人口比重增加，促进城镇化水平上升。</w:t>
      </w:r>
    </w:p>
    <w:p w14:paraId="206EE13D">
      <w:pPr>
        <w:spacing w:line="360" w:lineRule="auto"/>
        <w:jc w:val="left"/>
        <w:textAlignment w:val="center"/>
        <w:rPr>
          <w:color w:val="000000"/>
        </w:rPr>
      </w:pPr>
      <w:r>
        <w:rPr>
          <w:color w:val="000000"/>
        </w:rPr>
        <w:t xml:space="preserve">27. </w:t>
      </w:r>
      <w:r>
        <w:rPr>
          <w:rFonts w:ascii="宋体" w:hAnsi="宋体" w:eastAsia="宋体" w:cs="宋体"/>
          <w:color w:val="000000"/>
        </w:rPr>
        <w:t>阅读材料，完成下列问题。</w:t>
      </w:r>
    </w:p>
    <w:p w14:paraId="4046A447">
      <w:pPr>
        <w:spacing w:line="360" w:lineRule="auto"/>
        <w:ind w:firstLine="420"/>
        <w:jc w:val="left"/>
        <w:textAlignment w:val="center"/>
        <w:rPr>
          <w:color w:val="000000"/>
        </w:rPr>
      </w:pPr>
      <w:r>
        <w:rPr>
          <w:rFonts w:ascii="楷体" w:hAnsi="楷体" w:eastAsia="楷体" w:cs="楷体"/>
          <w:color w:val="000000"/>
        </w:rPr>
        <w:t>材料一：生物是在古老的地质历史和特殊的地理环境下长期演化形成的。青藏高原是新构造运动以来，地球上强烈隆起的最高、最年轻的高原。因高原差异抬升，雅鲁藏布江不同河段形成宽、窄不等的河谷，其中</w:t>
      </w:r>
      <w:r>
        <w:rPr>
          <w:rFonts w:ascii="Times New Roman" w:hAnsi="Times New Roman" w:eastAsia="Times New Roman" w:cs="Times New Roman"/>
          <w:color w:val="000000"/>
        </w:rPr>
        <w:t>M</w:t>
      </w:r>
      <w:r>
        <w:rPr>
          <w:rFonts w:ascii="楷体" w:hAnsi="楷体" w:eastAsia="楷体" w:cs="楷体"/>
          <w:color w:val="000000"/>
        </w:rPr>
        <w:t>河段河谷较宽阔。</w:t>
      </w:r>
    </w:p>
    <w:p w14:paraId="71775852">
      <w:pPr>
        <w:spacing w:line="360" w:lineRule="auto"/>
        <w:ind w:firstLine="420"/>
        <w:jc w:val="left"/>
        <w:textAlignment w:val="center"/>
        <w:rPr>
          <w:color w:val="000000"/>
        </w:rPr>
      </w:pPr>
      <w:r>
        <w:rPr>
          <w:rFonts w:ascii="楷体" w:hAnsi="楷体" w:eastAsia="楷体" w:cs="楷体"/>
          <w:color w:val="000000"/>
        </w:rPr>
        <w:t>材料二：受大气环流和地形的共同影响，河谷地区盛行风向随季节发生明显变化。下图为雅鲁藏布江及周边地区略图。</w:t>
      </w:r>
    </w:p>
    <w:p w14:paraId="1099DAC5">
      <w:pPr>
        <w:spacing w:line="360" w:lineRule="auto"/>
        <w:jc w:val="left"/>
        <w:textAlignment w:val="center"/>
        <w:rPr>
          <w:color w:val="000000"/>
        </w:rPr>
      </w:pPr>
      <w:r>
        <w:rPr>
          <w:color w:val="000000"/>
        </w:rPr>
        <w:drawing>
          <wp:inline distT="0" distB="0" distL="114300" distR="114300">
            <wp:extent cx="4076700" cy="1543050"/>
            <wp:effectExtent l="0" t="0" r="0" b="0"/>
            <wp:docPr id="100041" name="图片 100041"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dOIRD7MIOSHNAx1ODbqMbQ=="/>
                    <pic:cNvPicPr>
                      <a:picLocks noChangeAspect="1"/>
                    </pic:cNvPicPr>
                  </pic:nvPicPr>
                  <pic:blipFill>
                    <a:blip r:embed="rId30"/>
                    <a:stretch>
                      <a:fillRect/>
                    </a:stretch>
                  </pic:blipFill>
                  <pic:spPr>
                    <a:xfrm>
                      <a:off x="0" y="0"/>
                      <a:ext cx="4076700" cy="1543050"/>
                    </a:xfrm>
                    <a:prstGeom prst="rect">
                      <a:avLst/>
                    </a:prstGeom>
                  </pic:spPr>
                </pic:pic>
              </a:graphicData>
            </a:graphic>
          </wp:inline>
        </w:drawing>
      </w:r>
    </w:p>
    <w:p w14:paraId="418373A7">
      <w:pPr>
        <w:spacing w:line="360" w:lineRule="auto"/>
        <w:jc w:val="left"/>
        <w:textAlignment w:val="center"/>
        <w:rPr>
          <w:color w:val="000000"/>
        </w:rPr>
      </w:pPr>
      <w:r>
        <w:rPr>
          <w:color w:val="000000"/>
        </w:rPr>
        <w:t>（1）</w:t>
      </w:r>
      <w:r>
        <w:rPr>
          <w:rFonts w:ascii="宋体" w:hAnsi="宋体" w:eastAsia="宋体" w:cs="宋体"/>
          <w:color w:val="000000"/>
        </w:rPr>
        <w:t>甲、乙、丙三地物种数量变化趋势是</w:t>
      </w:r>
      <w:r>
        <w:rPr>
          <w:color w:val="000000"/>
        </w:rPr>
        <w:t>____</w:t>
      </w:r>
      <w:r>
        <w:rPr>
          <w:rFonts w:ascii="宋体" w:hAnsi="宋体" w:eastAsia="宋体" w:cs="宋体"/>
          <w:color w:val="000000"/>
        </w:rPr>
        <w:t>，解释其自然原因</w:t>
      </w:r>
      <w:r>
        <w:rPr>
          <w:color w:val="000000"/>
        </w:rPr>
        <w:t>____</w:t>
      </w:r>
      <w:r>
        <w:rPr>
          <w:rFonts w:ascii="宋体" w:hAnsi="宋体" w:eastAsia="宋体" w:cs="宋体"/>
          <w:color w:val="000000"/>
        </w:rPr>
        <w:t>。</w:t>
      </w:r>
    </w:p>
    <w:p w14:paraId="1B0C7516">
      <w:pPr>
        <w:spacing w:line="360" w:lineRule="auto"/>
        <w:jc w:val="left"/>
        <w:textAlignment w:val="center"/>
        <w:rPr>
          <w:color w:val="000000"/>
        </w:rPr>
      </w:pPr>
      <w:r>
        <w:rPr>
          <w:color w:val="000000"/>
        </w:rPr>
        <w:t>（2）</w:t>
      </w:r>
      <w:r>
        <w:rPr>
          <w:rFonts w:ascii="宋体" w:hAnsi="宋体" w:eastAsia="宋体" w:cs="宋体"/>
          <w:color w:val="000000"/>
        </w:rPr>
        <w:t>雅鲁藏布江中游河谷地区冬、夏季盛行风向分别是</w:t>
      </w:r>
      <w:r>
        <w:rPr>
          <w:color w:val="000000"/>
        </w:rPr>
        <w:t>____</w:t>
      </w:r>
      <w:r>
        <w:rPr>
          <w:rFonts w:ascii="宋体" w:hAnsi="宋体" w:eastAsia="宋体" w:cs="宋体"/>
          <w:color w:val="000000"/>
        </w:rPr>
        <w:t>风、</w:t>
      </w:r>
      <w:r>
        <w:rPr>
          <w:color w:val="000000"/>
        </w:rPr>
        <w:t>____</w:t>
      </w:r>
      <w:r>
        <w:rPr>
          <w:rFonts w:ascii="宋体" w:hAnsi="宋体" w:eastAsia="宋体" w:cs="宋体"/>
          <w:color w:val="000000"/>
        </w:rPr>
        <w:t>风。试分析盛行风冬季强于夏季的原因</w:t>
      </w:r>
      <w:r>
        <w:rPr>
          <w:color w:val="000000"/>
        </w:rPr>
        <w:t>____</w:t>
      </w:r>
      <w:r>
        <w:rPr>
          <w:rFonts w:ascii="宋体" w:hAnsi="宋体" w:eastAsia="宋体" w:cs="宋体"/>
          <w:color w:val="000000"/>
        </w:rPr>
        <w:t>。</w:t>
      </w:r>
    </w:p>
    <w:p w14:paraId="44223B40">
      <w:pPr>
        <w:spacing w:line="360" w:lineRule="auto"/>
        <w:jc w:val="left"/>
        <w:textAlignment w:val="center"/>
        <w:rPr>
          <w:color w:val="000000"/>
        </w:rPr>
      </w:pPr>
      <w:r>
        <w:rPr>
          <w:color w:val="000000"/>
        </w:rPr>
        <w:t>（3）</w:t>
      </w:r>
      <w:r>
        <w:rPr>
          <w:rFonts w:ascii="宋体" w:hAnsi="宋体" w:eastAsia="宋体" w:cs="宋体"/>
          <w:color w:val="000000"/>
        </w:rPr>
        <w:t>野外考察发现，</w:t>
      </w:r>
      <w:r>
        <w:rPr>
          <w:rFonts w:ascii="Times New Roman" w:hAnsi="Times New Roman" w:eastAsia="Times New Roman" w:cs="Times New Roman"/>
          <w:color w:val="000000"/>
        </w:rPr>
        <w:t>M</w:t>
      </w:r>
      <w:r>
        <w:rPr>
          <w:rFonts w:ascii="宋体" w:hAnsi="宋体" w:eastAsia="宋体" w:cs="宋体"/>
          <w:color w:val="000000"/>
        </w:rPr>
        <w:t>河段河床上经常会冲刷出新水道，试从自然环境整体性的角度说明原因。</w:t>
      </w:r>
    </w:p>
    <w:p w14:paraId="5D65D842">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增加</w:t>
      </w:r>
      <w:r>
        <w:rPr>
          <w:color w:val="000000"/>
        </w:rPr>
        <w:t xml:space="preserve">    ②. </w:t>
      </w:r>
      <w:r>
        <w:rPr>
          <w:rFonts w:ascii="宋体" w:hAnsi="宋体" w:eastAsia="宋体" w:cs="宋体"/>
          <w:color w:val="000000"/>
        </w:rPr>
        <w:t>高原差异抬升，河流下切，相对高差变大，垂直分异显著；降水量增加，水热条件更适宜不同生物生长；生物生存环境多样化，为古老物种避难、延续、分化，新物种的产生创造了条件。</w:t>
      </w:r>
      <w:r>
        <w:rPr>
          <w:color w:val="000000"/>
        </w:rPr>
        <w:t xml:space="preserve">    </w:t>
      </w:r>
    </w:p>
    <w:p w14:paraId="5BDF3553">
      <w:pPr>
        <w:spacing w:line="360" w:lineRule="auto"/>
        <w:textAlignment w:val="center"/>
        <w:rPr>
          <w:color w:val="000000"/>
        </w:rPr>
      </w:pPr>
      <w:r>
        <w:rPr>
          <w:color w:val="000000"/>
        </w:rPr>
        <w:t xml:space="preserve">（2）    ①. </w:t>
      </w:r>
      <w:r>
        <w:rPr>
          <w:rFonts w:ascii="宋体" w:hAnsi="宋体" w:eastAsia="宋体" w:cs="宋体"/>
          <w:color w:val="000000"/>
        </w:rPr>
        <w:t>偏西</w:t>
      </w:r>
      <w:r>
        <w:rPr>
          <w:color w:val="000000"/>
        </w:rPr>
        <w:t xml:space="preserve">    ②. </w:t>
      </w:r>
      <w:r>
        <w:rPr>
          <w:rFonts w:ascii="宋体" w:hAnsi="宋体" w:eastAsia="宋体" w:cs="宋体"/>
          <w:color w:val="000000"/>
        </w:rPr>
        <w:t>偏东</w:t>
      </w:r>
      <w:r>
        <w:rPr>
          <w:color w:val="000000"/>
        </w:rPr>
        <w:t xml:space="preserve">    ③. </w:t>
      </w:r>
      <w:r>
        <w:rPr>
          <w:rFonts w:ascii="宋体" w:hAnsi="宋体" w:eastAsia="宋体" w:cs="宋体"/>
          <w:color w:val="000000"/>
        </w:rPr>
        <w:t>冬季受南移西风带控制，西风顺河谷地势而下，风力较强；夏季西南季风在下游转向，由东向西逆河谷地势而上，东风较弱。</w:t>
      </w:r>
      <w:r>
        <w:rPr>
          <w:color w:val="000000"/>
        </w:rPr>
        <w:t xml:space="preserve">    </w:t>
      </w:r>
    </w:p>
    <w:p w14:paraId="5679EFED">
      <w:pPr>
        <w:spacing w:line="360" w:lineRule="auto"/>
        <w:textAlignment w:val="center"/>
        <w:rPr>
          <w:color w:val="000000"/>
        </w:rPr>
      </w:pPr>
      <w:r>
        <w:rPr>
          <w:color w:val="000000"/>
        </w:rPr>
        <w:t>（3）</w:t>
      </w:r>
      <w:r>
        <w:rPr>
          <w:rFonts w:ascii="宋体" w:hAnsi="宋体" w:eastAsia="宋体" w:cs="宋体"/>
          <w:color w:val="000000"/>
        </w:rPr>
        <w:t>河谷宽阔，河漫滩面积大；河床比降小，汛期流水侧蚀强；植被覆盖少，沉积物松散；降水、冰雪融水补给为主，水量季节变化大；汛期含沙量大，易造心滩和浅滩，堵塞原水道；季节性冻融；易冲出新水道。</w:t>
      </w:r>
    </w:p>
    <w:p w14:paraId="3C1C3F76">
      <w:pPr>
        <w:spacing w:line="360" w:lineRule="auto"/>
        <w:textAlignment w:val="center"/>
        <w:rPr>
          <w:color w:val="000000"/>
        </w:rPr>
      </w:pPr>
      <w:r>
        <w:rPr>
          <w:color w:val="2E75B6"/>
        </w:rPr>
        <w:t>【解析】</w:t>
      </w:r>
    </w:p>
    <w:p w14:paraId="10616686">
      <w:pPr>
        <w:spacing w:line="360" w:lineRule="auto"/>
        <w:jc w:val="left"/>
        <w:textAlignment w:val="center"/>
        <w:rPr>
          <w:color w:val="000000"/>
        </w:rPr>
      </w:pPr>
      <w:r>
        <w:rPr>
          <w:color w:val="000000"/>
        </w:rPr>
        <w:t>【分析】本题以雅鲁藏布江及周边地区略图为背景，设置3小题，涉及物种数量、盛行风及地理环境的整体性等相关知识，考查学生获取解读信息、调动运用知识的能力，体现了区域认知、综合思维及地理实践和力的学科素养。</w:t>
      </w:r>
    </w:p>
    <w:p w14:paraId="45B3566E">
      <w:pPr>
        <w:spacing w:line="360" w:lineRule="auto"/>
        <w:jc w:val="left"/>
        <w:textAlignment w:val="center"/>
        <w:rPr>
          <w:color w:val="000000"/>
        </w:rPr>
      </w:pPr>
      <w:r>
        <w:rPr>
          <w:color w:val="000000"/>
        </w:rPr>
        <w:t>【小问1详解】</w:t>
      </w:r>
    </w:p>
    <w:p w14:paraId="58C23105">
      <w:pPr>
        <w:spacing w:line="360" w:lineRule="auto"/>
        <w:jc w:val="left"/>
        <w:textAlignment w:val="center"/>
        <w:rPr>
          <w:color w:val="000000"/>
        </w:rPr>
      </w:pPr>
      <w:r>
        <w:rPr>
          <w:color w:val="000000"/>
        </w:rPr>
        <w:t>读图可知，甲、乙、丙分别位于雅鲁藏布江的上游、中游、下游，越往下游水热条件优越，物种数量越多。由材料可知，青藏高原是新构造运动以来，地球上强烈隆起的最高、最年轻的高原。高原差异抬升，河流往东，流速加快，下切侵蚀加强，相对高差变大，水热的垂直分异显著；读图可知，雅鲁藏布江自西向东，降水量增加，水热条件更适宜不同生物生长；由甲至丙，由冷干高原至湿润峡谷，生物生存环境多样化，且地形较为封闭，为古老物种避难、延续、分化，新物种的产生创造了条件。</w:t>
      </w:r>
    </w:p>
    <w:p w14:paraId="2B714F8D">
      <w:pPr>
        <w:spacing w:line="360" w:lineRule="auto"/>
        <w:jc w:val="left"/>
        <w:textAlignment w:val="center"/>
        <w:rPr>
          <w:color w:val="000000"/>
        </w:rPr>
      </w:pPr>
      <w:r>
        <w:rPr>
          <w:color w:val="000000"/>
        </w:rPr>
        <w:t>【小问2详解】</w:t>
      </w:r>
    </w:p>
    <w:p w14:paraId="15880575">
      <w:pPr>
        <w:spacing w:line="360" w:lineRule="auto"/>
        <w:jc w:val="left"/>
        <w:textAlignment w:val="center"/>
        <w:rPr>
          <w:color w:val="000000"/>
        </w:rPr>
      </w:pPr>
      <w:r>
        <w:rPr>
          <w:color w:val="000000"/>
        </w:rPr>
        <w:t>由材料可知，受大气环流和地形的共同影响，河谷地区盛行风向随季节发生明显变化。结合纬度位置可知，雅鲁藏布江位于30°纬线附近，冬季，太阳直射点南移，西风带随之南移致30°纬线附近，受南移西风带控制，中游河谷地势西高东低，西风顺河谷地势而下，风力较强；夏季，西南季风受青藏高原地形阻挡，部分气流沿着河谷深入，在中游河谷地区转向形成偏东风，由于地势西高东低，偏东风受地形抬升影响势力较弱。</w:t>
      </w:r>
    </w:p>
    <w:p w14:paraId="28B85654">
      <w:pPr>
        <w:spacing w:line="360" w:lineRule="auto"/>
        <w:jc w:val="left"/>
        <w:textAlignment w:val="center"/>
        <w:rPr>
          <w:color w:val="000000"/>
        </w:rPr>
      </w:pPr>
      <w:r>
        <w:rPr>
          <w:color w:val="000000"/>
        </w:rPr>
        <w:t>【小问3详解】</w:t>
      </w:r>
    </w:p>
    <w:p w14:paraId="5A00DE6B">
      <w:pPr>
        <w:spacing w:line="360" w:lineRule="auto"/>
        <w:jc w:val="left"/>
        <w:textAlignment w:val="center"/>
        <w:rPr>
          <w:color w:val="000000"/>
        </w:rPr>
      </w:pPr>
      <w:r>
        <w:rPr>
          <w:color w:val="000000"/>
        </w:rPr>
        <w:t>由材料可知，M河段河谷较宽阔，说明该河段地形较为平坦开阔，河漫滩面积大，河流摆动空间大；地形较为平坦开阔，河床比降小，流速较缓，汛期流水侧蚀强；读图可知，中、上游气候干旱，降水少，植被稀疏，地表多松散碎屑物，沙源物质丰富；河流以冰雪融水和降水补给为主，夏季对流旺盛多降水，夏季气温高、冰雪融水融水补给量大，有明显的夏汛，水量季节变化大，流水的冲淤季节变化显著；夏季汛期河流径流量大，含沙量大，随着水流减速泥沙沉积，在宽谷处易形成心滩和浅滩，堵塞原水道；同时，随着气温升高，季节性冻土的冻融，部分河岸物质松散，洪水期易冲出新水道。</w:t>
      </w:r>
    </w:p>
    <w:p w14:paraId="23728543">
      <w:pPr>
        <w:spacing w:line="360" w:lineRule="auto"/>
        <w:jc w:val="left"/>
        <w:textAlignment w:val="center"/>
        <w:rPr>
          <w:color w:val="000000"/>
        </w:rPr>
      </w:pPr>
      <w:r>
        <w:rPr>
          <w:color w:val="000000"/>
        </w:rPr>
        <w:t xml:space="preserve">28. </w:t>
      </w:r>
      <w:r>
        <w:rPr>
          <w:rFonts w:ascii="宋体" w:hAnsi="宋体" w:eastAsia="宋体" w:cs="宋体"/>
          <w:color w:val="000000"/>
        </w:rPr>
        <w:t>阅读材料，完成下列问题。</w:t>
      </w:r>
    </w:p>
    <w:p w14:paraId="7D1D109B">
      <w:pPr>
        <w:spacing w:line="360" w:lineRule="auto"/>
        <w:ind w:firstLine="420"/>
        <w:jc w:val="left"/>
        <w:textAlignment w:val="center"/>
        <w:rPr>
          <w:color w:val="000000"/>
        </w:rPr>
      </w:pPr>
      <w:r>
        <w:rPr>
          <w:rFonts w:ascii="楷体" w:hAnsi="楷体" w:eastAsia="楷体" w:cs="楷体"/>
          <w:color w:val="000000"/>
        </w:rPr>
        <w:t>材料一：巴音河流域地处柴达木盆地东北部德令哈市，年均日照时数</w:t>
      </w:r>
      <w:r>
        <w:rPr>
          <w:rFonts w:ascii="Times New Roman" w:hAnsi="Times New Roman" w:eastAsia="Times New Roman" w:cs="Times New Roman"/>
          <w:color w:val="000000"/>
        </w:rPr>
        <w:t>2879h</w:t>
      </w:r>
      <w:r>
        <w:rPr>
          <w:rFonts w:ascii="楷体" w:hAnsi="楷体" w:eastAsia="楷体" w:cs="楷体"/>
          <w:color w:val="000000"/>
        </w:rPr>
        <w:t>，年均温仅</w:t>
      </w:r>
      <w:r>
        <w:rPr>
          <w:rFonts w:ascii="Times New Roman" w:hAnsi="Times New Roman" w:eastAsia="Times New Roman" w:cs="Times New Roman"/>
          <w:color w:val="000000"/>
        </w:rPr>
        <w:t>1~5℃</w:t>
      </w:r>
      <w:r>
        <w:rPr>
          <w:rFonts w:ascii="楷体" w:hAnsi="楷体" w:eastAsia="楷体" w:cs="楷体"/>
          <w:color w:val="000000"/>
        </w:rPr>
        <w:t>，年降水量</w:t>
      </w:r>
      <w:r>
        <w:rPr>
          <w:rFonts w:ascii="Times New Roman" w:hAnsi="Times New Roman" w:eastAsia="Times New Roman" w:cs="Times New Roman"/>
          <w:color w:val="000000"/>
        </w:rPr>
        <w:t>176.3mm</w:t>
      </w:r>
      <w:r>
        <w:rPr>
          <w:rFonts w:ascii="楷体" w:hAnsi="楷体" w:eastAsia="楷体" w:cs="楷体"/>
          <w:color w:val="000000"/>
        </w:rPr>
        <w:t>，夏季降水量占全年的</w:t>
      </w:r>
      <w:r>
        <w:rPr>
          <w:rFonts w:ascii="Times New Roman" w:hAnsi="Times New Roman" w:eastAsia="Times New Roman" w:cs="Times New Roman"/>
          <w:color w:val="000000"/>
        </w:rPr>
        <w:t>56~84%</w:t>
      </w:r>
      <w:r>
        <w:rPr>
          <w:rFonts w:ascii="楷体" w:hAnsi="楷体" w:eastAsia="楷体" w:cs="楷体"/>
          <w:color w:val="000000"/>
        </w:rPr>
        <w:t>，年蒸发量</w:t>
      </w:r>
      <w:r>
        <w:rPr>
          <w:rFonts w:ascii="Times New Roman" w:hAnsi="Times New Roman" w:eastAsia="Times New Roman" w:cs="Times New Roman"/>
          <w:color w:val="000000"/>
        </w:rPr>
        <w:t>2000~2500mm</w:t>
      </w:r>
      <w:r>
        <w:rPr>
          <w:rFonts w:ascii="楷体" w:hAnsi="楷体" w:eastAsia="楷体" w:cs="楷体"/>
          <w:color w:val="000000"/>
        </w:rPr>
        <w:t>。该流域草地一般</w:t>
      </w:r>
      <w:r>
        <w:rPr>
          <w:rFonts w:ascii="Times New Roman" w:hAnsi="Times New Roman" w:eastAsia="Times New Roman" w:cs="Times New Roman"/>
          <w:color w:val="000000"/>
        </w:rPr>
        <w:t>5</w:t>
      </w:r>
      <w:r>
        <w:rPr>
          <w:rFonts w:ascii="楷体" w:hAnsi="楷体" w:eastAsia="楷体" w:cs="楷体"/>
          <w:color w:val="000000"/>
        </w:rPr>
        <w:t>月中旬返青，</w:t>
      </w:r>
      <w:r>
        <w:rPr>
          <w:rFonts w:ascii="Times New Roman" w:hAnsi="Times New Roman" w:eastAsia="Times New Roman" w:cs="Times New Roman"/>
          <w:color w:val="000000"/>
        </w:rPr>
        <w:t>9</w:t>
      </w:r>
      <w:r>
        <w:rPr>
          <w:rFonts w:ascii="楷体" w:hAnsi="楷体" w:eastAsia="楷体" w:cs="楷体"/>
          <w:color w:val="000000"/>
        </w:rPr>
        <w:t>月上旬枯黄，生长期仅</w:t>
      </w:r>
      <w:r>
        <w:rPr>
          <w:rFonts w:ascii="Times New Roman" w:hAnsi="Times New Roman" w:eastAsia="Times New Roman" w:cs="Times New Roman"/>
          <w:color w:val="000000"/>
        </w:rPr>
        <w:t>120</w:t>
      </w:r>
      <w:r>
        <w:rPr>
          <w:rFonts w:ascii="楷体" w:hAnsi="楷体" w:eastAsia="楷体" w:cs="楷体"/>
          <w:color w:val="000000"/>
        </w:rPr>
        <w:t>天左右。气候、地形和土壤因子是草地所在区域生态系统的原生自然条件，可以反映草地自然质量。</w:t>
      </w:r>
    </w:p>
    <w:p w14:paraId="1C69B392">
      <w:pPr>
        <w:spacing w:line="360" w:lineRule="auto"/>
        <w:ind w:firstLine="420"/>
        <w:jc w:val="left"/>
        <w:textAlignment w:val="center"/>
        <w:rPr>
          <w:color w:val="000000"/>
        </w:rPr>
      </w:pPr>
      <w:r>
        <w:rPr>
          <w:rFonts w:ascii="楷体" w:hAnsi="楷体" w:eastAsia="楷体" w:cs="楷体"/>
          <w:color w:val="000000"/>
        </w:rPr>
        <w:t>材料二：下图为巴音河流域局部地区土地利用和地形图。</w:t>
      </w:r>
    </w:p>
    <w:p w14:paraId="6FD781D2">
      <w:pPr>
        <w:spacing w:line="360" w:lineRule="auto"/>
        <w:jc w:val="left"/>
        <w:textAlignment w:val="center"/>
        <w:rPr>
          <w:color w:val="000000"/>
        </w:rPr>
      </w:pPr>
      <w:r>
        <w:rPr>
          <w:color w:val="000000"/>
        </w:rPr>
        <w:drawing>
          <wp:inline distT="0" distB="0" distL="114300" distR="114300">
            <wp:extent cx="3981450" cy="2295525"/>
            <wp:effectExtent l="0" t="0" r="0" b="0"/>
            <wp:docPr id="100043" name="图片 100043" descr="学科网(www.zxxk.com)--教育资源门户，提供试卷、教案、课件、论文、素材以及各类教学资源下载，还有大量而丰富的教学相关资讯！ dOIRD7MIOS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dOIRD7MIOSHNAx1ODbqMbQ=="/>
                    <pic:cNvPicPr>
                      <a:picLocks noChangeAspect="1"/>
                    </pic:cNvPicPr>
                  </pic:nvPicPr>
                  <pic:blipFill>
                    <a:blip r:embed="rId31"/>
                    <a:stretch>
                      <a:fillRect/>
                    </a:stretch>
                  </pic:blipFill>
                  <pic:spPr>
                    <a:xfrm>
                      <a:off x="0" y="0"/>
                      <a:ext cx="3981450" cy="2295525"/>
                    </a:xfrm>
                    <a:prstGeom prst="rect">
                      <a:avLst/>
                    </a:prstGeom>
                  </pic:spPr>
                </pic:pic>
              </a:graphicData>
            </a:graphic>
          </wp:inline>
        </w:drawing>
      </w:r>
    </w:p>
    <w:p w14:paraId="7D97A65E">
      <w:pPr>
        <w:spacing w:line="360" w:lineRule="auto"/>
        <w:jc w:val="left"/>
        <w:textAlignment w:val="center"/>
        <w:rPr>
          <w:color w:val="000000"/>
        </w:rPr>
      </w:pPr>
      <w:r>
        <w:rPr>
          <w:color w:val="000000"/>
        </w:rPr>
        <w:t>（1）</w:t>
      </w:r>
      <w:r>
        <w:rPr>
          <w:rFonts w:ascii="宋体" w:hAnsi="宋体" w:eastAsia="宋体" w:cs="宋体"/>
          <w:color w:val="000000"/>
        </w:rPr>
        <w:t>从规模和空间分布角度，分析耕地开垦和城乡居民点的关系。</w:t>
      </w:r>
    </w:p>
    <w:p w14:paraId="3B7FE51D">
      <w:pPr>
        <w:spacing w:line="360" w:lineRule="auto"/>
        <w:jc w:val="left"/>
        <w:textAlignment w:val="center"/>
        <w:rPr>
          <w:color w:val="000000"/>
        </w:rPr>
      </w:pPr>
      <w:r>
        <w:rPr>
          <w:color w:val="000000"/>
        </w:rPr>
        <w:t>（2）</w:t>
      </w:r>
      <w:r>
        <w:rPr>
          <w:rFonts w:ascii="宋体" w:hAnsi="宋体" w:eastAsia="宋体" w:cs="宋体"/>
          <w:color w:val="000000"/>
        </w:rPr>
        <w:t>简析图示南部地区草地与裸地、湿地交错分布的自然原因。</w:t>
      </w:r>
    </w:p>
    <w:p w14:paraId="483D431C">
      <w:pPr>
        <w:spacing w:line="360" w:lineRule="auto"/>
        <w:jc w:val="left"/>
        <w:textAlignment w:val="center"/>
        <w:rPr>
          <w:color w:val="000000"/>
        </w:rPr>
      </w:pPr>
      <w:r>
        <w:rPr>
          <w:color w:val="000000"/>
        </w:rPr>
        <w:t>（3）</w:t>
      </w:r>
      <w:r>
        <w:rPr>
          <w:rFonts w:ascii="宋体" w:hAnsi="宋体" w:eastAsia="宋体" w:cs="宋体"/>
          <w:color w:val="000000"/>
        </w:rPr>
        <w:t>从气候角度，分析巴音河流域草地生态系统的脆弱性。</w:t>
      </w:r>
    </w:p>
    <w:p w14:paraId="7E343413">
      <w:pPr>
        <w:spacing w:line="360" w:lineRule="auto"/>
        <w:jc w:val="left"/>
        <w:textAlignment w:val="center"/>
        <w:rPr>
          <w:color w:val="000000"/>
        </w:rPr>
      </w:pPr>
      <w:r>
        <w:rPr>
          <w:color w:val="000000"/>
        </w:rPr>
        <w:t>（4）</w:t>
      </w:r>
      <w:r>
        <w:rPr>
          <w:rFonts w:ascii="宋体" w:hAnsi="宋体" w:eastAsia="宋体" w:cs="宋体"/>
          <w:color w:val="000000"/>
        </w:rPr>
        <w:t>写出草地质量分等土壤因子中的至少两个评价指标，并说出选择的理由。</w:t>
      </w:r>
    </w:p>
    <w:p w14:paraId="21771A2D">
      <w:pPr>
        <w:spacing w:line="360" w:lineRule="auto"/>
        <w:textAlignment w:val="center"/>
        <w:rPr>
          <w:color w:val="000000"/>
        </w:rPr>
      </w:pPr>
      <w:r>
        <w:rPr>
          <w:color w:val="2E75B6"/>
        </w:rPr>
        <w:t>【答案】</w:t>
      </w:r>
      <w:r>
        <w:rPr>
          <w:color w:val="000000"/>
        </w:rPr>
        <w:t xml:space="preserve">（1）城乡居民点规模大（或小），人口多（或少），耕地开垦规模大（或小）；分布在耕作便利的城乡居民点周边。    </w:t>
      </w:r>
    </w:p>
    <w:p w14:paraId="7C6C1057">
      <w:pPr>
        <w:spacing w:line="360" w:lineRule="auto"/>
        <w:textAlignment w:val="center"/>
        <w:rPr>
          <w:color w:val="000000"/>
        </w:rPr>
      </w:pPr>
      <w:r>
        <w:rPr>
          <w:color w:val="000000"/>
        </w:rPr>
        <w:t>（2）</w:t>
      </w:r>
      <w:r>
        <w:rPr>
          <w:rFonts w:ascii="宋体" w:hAnsi="宋体" w:eastAsia="宋体" w:cs="宋体"/>
          <w:color w:val="000000"/>
        </w:rPr>
        <w:t>南部地形有起伏，不同地貌部位，水热条件小尺度地域分异，形成不同的小环境，影响草类生长。</w:t>
      </w:r>
      <w:r>
        <w:rPr>
          <w:color w:val="000000"/>
        </w:rPr>
        <w:t xml:space="preserve">    </w:t>
      </w:r>
    </w:p>
    <w:p w14:paraId="0E338856">
      <w:pPr>
        <w:spacing w:line="360" w:lineRule="auto"/>
        <w:textAlignment w:val="center"/>
        <w:rPr>
          <w:color w:val="000000"/>
        </w:rPr>
      </w:pPr>
      <w:r>
        <w:rPr>
          <w:color w:val="000000"/>
        </w:rPr>
        <w:t>（3）</w:t>
      </w:r>
      <w:r>
        <w:rPr>
          <w:rFonts w:ascii="Times New Roman" w:hAnsi="Times New Roman" w:eastAsia="Times New Roman" w:cs="Times New Roman"/>
          <w:color w:val="000000"/>
        </w:rPr>
        <w:t>5~9</w:t>
      </w:r>
      <w:r>
        <w:rPr>
          <w:rFonts w:ascii="宋体" w:hAnsi="宋体" w:eastAsia="宋体" w:cs="宋体"/>
          <w:color w:val="000000"/>
        </w:rPr>
        <w:t>月（暖季）天气变化复杂，气温日较差大；并有间断性干旱，草不能正常生长，且生长期短；雨季多阵雨，易造成地面水蚀；</w:t>
      </w:r>
      <w:r>
        <w:rPr>
          <w:rFonts w:ascii="Times New Roman" w:hAnsi="Times New Roman" w:eastAsia="Times New Roman" w:cs="Times New Roman"/>
          <w:color w:val="000000"/>
        </w:rPr>
        <w:t>10</w:t>
      </w:r>
      <w:r>
        <w:rPr>
          <w:rFonts w:ascii="宋体" w:hAnsi="宋体" w:eastAsia="宋体" w:cs="宋体"/>
          <w:color w:val="000000"/>
        </w:rPr>
        <w:t>月至次年</w:t>
      </w:r>
      <w:r>
        <w:rPr>
          <w:rFonts w:ascii="Times New Roman" w:hAnsi="Times New Roman" w:eastAsia="Times New Roman" w:cs="Times New Roman"/>
          <w:color w:val="000000"/>
        </w:rPr>
        <w:t>4</w:t>
      </w:r>
      <w:r>
        <w:rPr>
          <w:rFonts w:ascii="宋体" w:hAnsi="宋体" w:eastAsia="宋体" w:cs="宋体"/>
          <w:color w:val="000000"/>
        </w:rPr>
        <w:t>月（旱季）地面风蚀强；蒸发量大，土地易盐碱化。</w:t>
      </w:r>
      <w:r>
        <w:rPr>
          <w:color w:val="000000"/>
        </w:rPr>
        <w:t xml:space="preserve">    </w:t>
      </w:r>
    </w:p>
    <w:p w14:paraId="15185833">
      <w:pPr>
        <w:spacing w:line="360" w:lineRule="auto"/>
        <w:textAlignment w:val="center"/>
        <w:rPr>
          <w:color w:val="000000"/>
        </w:rPr>
      </w:pPr>
      <w:r>
        <w:rPr>
          <w:color w:val="000000"/>
        </w:rPr>
        <w:t>（4）</w:t>
      </w:r>
      <w:r>
        <w:rPr>
          <w:rFonts w:ascii="宋体" w:hAnsi="宋体" w:eastAsia="宋体" w:cs="宋体"/>
          <w:color w:val="000000"/>
        </w:rPr>
        <w:t>评价指标：有效土层厚度、土壤质地、土壤有机质含量、腐殖质层厚度。理由：影响植物根系深度、土壤结构、土壤生物多样性等，影响土壤水分、养分储存和运移规律，影响植物吸收利用，草地生产能力，影响草地质量。</w:t>
      </w:r>
    </w:p>
    <w:p w14:paraId="03CAAF92">
      <w:pPr>
        <w:spacing w:line="360" w:lineRule="auto"/>
        <w:textAlignment w:val="center"/>
        <w:rPr>
          <w:color w:val="000000"/>
        </w:rPr>
      </w:pPr>
      <w:r>
        <w:rPr>
          <w:color w:val="2E75B6"/>
        </w:rPr>
        <w:t>【解析】</w:t>
      </w:r>
    </w:p>
    <w:p w14:paraId="06198269">
      <w:pPr>
        <w:spacing w:line="360" w:lineRule="auto"/>
        <w:jc w:val="left"/>
        <w:textAlignment w:val="center"/>
        <w:rPr>
          <w:color w:val="000000"/>
        </w:rPr>
      </w:pPr>
      <w:r>
        <w:rPr>
          <w:color w:val="000000"/>
        </w:rPr>
        <w:t>【分析】本题以巴音河流域的气候资料及局部地区土地利用和地形图为背景，设置4小题，涉及农业、植被、生态系统脆弱性及土壤因子等相关知识，考查学生获取解读信息、调动运用知识的能力，体现了区域认知、综合思维及地理实践力的学科素养。</w:t>
      </w:r>
    </w:p>
    <w:p w14:paraId="1947FCB9">
      <w:pPr>
        <w:spacing w:line="360" w:lineRule="auto"/>
        <w:jc w:val="left"/>
        <w:textAlignment w:val="center"/>
        <w:rPr>
          <w:color w:val="000000"/>
        </w:rPr>
      </w:pPr>
      <w:r>
        <w:rPr>
          <w:color w:val="000000"/>
        </w:rPr>
        <w:t>【小问1详解】</w:t>
      </w:r>
    </w:p>
    <w:p w14:paraId="1AA7C207">
      <w:pPr>
        <w:spacing w:line="360" w:lineRule="auto"/>
        <w:jc w:val="left"/>
        <w:textAlignment w:val="center"/>
        <w:rPr>
          <w:color w:val="000000"/>
        </w:rPr>
      </w:pPr>
      <w:r>
        <w:rPr>
          <w:color w:val="000000"/>
        </w:rPr>
        <w:t>读图可知，从空间分布来看，耕地分布在城乡居民点周边，可方便居民就近耕作；从规模来看，耕地规模与城乡居民点规模大致呈正相关，城乡居民点规模大，人口多，劳动力充足，开垦的耕地规模大，反之，城乡居民点规模小，人口少，劳动力少，开垦的耕地规模小，</w:t>
      </w:r>
    </w:p>
    <w:p w14:paraId="5CD1C6A4">
      <w:pPr>
        <w:spacing w:line="360" w:lineRule="auto"/>
        <w:jc w:val="left"/>
        <w:textAlignment w:val="center"/>
        <w:rPr>
          <w:color w:val="000000"/>
        </w:rPr>
      </w:pPr>
      <w:r>
        <w:rPr>
          <w:color w:val="000000"/>
        </w:rPr>
        <w:t>【小问2详解】</w:t>
      </w:r>
    </w:p>
    <w:p w14:paraId="54634984">
      <w:pPr>
        <w:spacing w:line="360" w:lineRule="auto"/>
        <w:jc w:val="left"/>
        <w:textAlignment w:val="center"/>
        <w:rPr>
          <w:color w:val="000000"/>
        </w:rPr>
      </w:pPr>
      <w:r>
        <w:rPr>
          <w:color w:val="000000"/>
        </w:rPr>
        <w:t>据材料一可知，巴音河流域整体气候干旱。读图可知，南部地形相对北部地势起伏更低，有利于地表径流的汇集，热量相对充足，整体以草地为主，但由于地势起伏，地表水和地下水的空间分布差异，不同地貌部位，水热条件小尺度地域分异，影响草类生长，低洼地带积水形成湿地、凸地可能形成裸地，从而形成了南部地区草地与裸地、湿地交错分布的态势。</w:t>
      </w:r>
    </w:p>
    <w:p w14:paraId="158DE594">
      <w:pPr>
        <w:spacing w:line="360" w:lineRule="auto"/>
        <w:jc w:val="left"/>
        <w:textAlignment w:val="center"/>
        <w:rPr>
          <w:color w:val="000000"/>
        </w:rPr>
      </w:pPr>
      <w:r>
        <w:rPr>
          <w:color w:val="000000"/>
        </w:rPr>
        <w:t>【小问3详解】</w:t>
      </w:r>
    </w:p>
    <w:p w14:paraId="67846D70">
      <w:pPr>
        <w:spacing w:line="360" w:lineRule="auto"/>
        <w:jc w:val="left"/>
        <w:textAlignment w:val="center"/>
        <w:rPr>
          <w:color w:val="000000"/>
        </w:rPr>
      </w:pPr>
      <w:r>
        <w:rPr>
          <w:color w:val="000000"/>
        </w:rPr>
        <w:t>据材料一可知，巴音河流域“年降水量176.3mm”，气候干旱，5~9月太阳直射点北移，气温升高，正值当地暖季，草地“5月中旬返青”，但由于天气变化复杂，气温日较差大，夜间低温影响草类生长；暖季有间断性干旱，水资源不足，草类不能正常生长；“年均温仅1~5℃”，草地生长周期短，只有“120天左右”，植被自我修复能力弱；夏季降水量占全年的56~84%，比例大，雨季多阵雨，易造成地面水蚀，影响草地生态系统稳定；10月至次年4月为旱季，降水少，草地枯黄，风力强劲，地面风蚀强，表层土壤贫瘠、土层薄；“年蒸发量2000~2500mm”，蒸发量大，土壤水分蒸发，地表易盐碱化。</w:t>
      </w:r>
    </w:p>
    <w:p w14:paraId="012F8D9D">
      <w:pPr>
        <w:spacing w:line="360" w:lineRule="auto"/>
        <w:jc w:val="left"/>
        <w:textAlignment w:val="center"/>
        <w:rPr>
          <w:color w:val="000000"/>
        </w:rPr>
      </w:pPr>
      <w:r>
        <w:rPr>
          <w:color w:val="000000"/>
        </w:rPr>
        <w:t>【小问4详解】</w:t>
      </w:r>
    </w:p>
    <w:p w14:paraId="3C0E3340">
      <w:pPr>
        <w:spacing w:line="360" w:lineRule="auto"/>
        <w:jc w:val="left"/>
        <w:textAlignment w:val="center"/>
        <w:rPr>
          <w:color w:val="000000"/>
        </w:rPr>
      </w:pPr>
      <w:r>
        <w:rPr>
          <w:color w:val="000000"/>
        </w:rPr>
        <w:t>联系已学可知，土壤由矿物质、有机质、空气和水分组成，土壤的肥力取决于有机质及土壤水、肥、气、热的协调程度，故草地质量的评价指标有</w:t>
      </w:r>
      <w:r>
        <w:rPr>
          <w:rFonts w:ascii="宋体" w:hAnsi="宋体" w:eastAsia="宋体" w:cs="宋体"/>
          <w:b/>
          <w:color w:val="000000"/>
        </w:rPr>
        <w:t>①</w:t>
      </w:r>
      <w:r>
        <w:rPr>
          <w:color w:val="000000"/>
        </w:rPr>
        <w:t>土壤质地，土壤固体颗粒粒径大小及组成，影响土壤通气性、透水性和保水性，影响土壤中水分、养分的储存和运移；</w:t>
      </w:r>
      <w:r>
        <w:rPr>
          <w:rFonts w:ascii="宋体" w:hAnsi="宋体" w:eastAsia="宋体" w:cs="宋体"/>
          <w:b/>
          <w:color w:val="000000"/>
        </w:rPr>
        <w:t>②</w:t>
      </w:r>
      <w:r>
        <w:rPr>
          <w:color w:val="000000"/>
        </w:rPr>
        <w:t>土壤有机质含量、腐殖质层厚度，土壤有机质、腐殖质由生物残体分解形成，含量高低直接影响土壤养分供应能力，影响土壤生物多样性，同时还会影响土壤结构，有机质、腐殖质高的土壤，保水保肥性强，草地生产能力高，草地质量优；</w:t>
      </w:r>
      <w:r>
        <w:rPr>
          <w:rFonts w:ascii="宋体" w:hAnsi="宋体" w:eastAsia="宋体" w:cs="宋体"/>
          <w:b/>
          <w:color w:val="000000"/>
        </w:rPr>
        <w:t>③</w:t>
      </w:r>
      <w:r>
        <w:rPr>
          <w:color w:val="000000"/>
        </w:rPr>
        <w:t>有效土层的厚度，直接影响植物根系深度，影响植物根系从土壤中汲取水肥的能力，影响草地生产能力和草地质量。</w:t>
      </w:r>
    </w:p>
    <w:p w14:paraId="06E619D4">
      <w:pPr>
        <w:spacing w:line="360" w:lineRule="auto"/>
        <w:jc w:val="left"/>
        <w:textAlignment w:val="center"/>
        <w:rPr>
          <w:color w:val="000000"/>
        </w:rPr>
      </w:pPr>
      <w:r>
        <w:rPr>
          <w:color w:val="000000"/>
        </w:rPr>
        <w:br w:type="textWrapping"/>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pitch w:val="default"/>
    <w:sig w:usb0="E00002FF" w:usb1="420024FF" w:usb2="00000000" w:usb3="00000000" w:csb0="2000019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D2794">
    <w:pPr>
      <w:pStyle w:val="2"/>
      <w:ind w:right="360"/>
      <w:rPr>
        <w:rFonts w:hint="eastAsia" w:eastAsia="宋体"/>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86801">
    <w:pPr>
      <w:pStyle w:val="3"/>
      <w:pBdr>
        <w:bottom w:val="none" w:color="auto" w:sz="0" w:space="1"/>
      </w:pBdr>
      <w:jc w:val="right"/>
      <w:rPr>
        <w:rFonts w:hint="eastAsia" w:eastAsia="宋体"/>
        <w:lang w:eastAsia="zh-CN"/>
      </w:rP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9C4C50"/>
    <w:rsid w:val="18ED22E0"/>
    <w:rsid w:val="27E97BDE"/>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Char"/>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wmf"/><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18</Pages>
  <Words>8210</Words>
  <Characters>8693</Characters>
  <Lines>0</Lines>
  <Paragraphs>0</Paragraphs>
  <TotalTime>0</TotalTime>
  <ScaleCrop>false</ScaleCrop>
  <LinksUpToDate>false</LinksUpToDate>
  <CharactersWithSpaces>9044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2025-06-08T17:11:00Z</dcterms:created>
  <dc:creator>学科网试题生产平台</dc:creator>
  <dc:description>3689121479933952</dc:description>
  <cp:lastModifiedBy>温州杨府山高复学校</cp:lastModifiedBy>
  <dcterms:modified xsi:type="dcterms:W3CDTF">2026-01-24T05:24:15Z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B28574DA2E864DC39BB4BCD636882711_12</vt:lpwstr>
  </property>
  <property fmtid="{D5CDD505-2E9C-101B-9397-08002B2CF9AE}" pid="8" name="KSOTemplateDocerSaveRecord">
    <vt:lpwstr>eyJoZGlkIjoiZDMzZDMxNDM2Y2I1ZjM1YzA4NDhiMjAzMWNiNmY1ZjUiLCJ1c2VySWQiOiIyNzgwOTYxODEifQ==</vt:lpwstr>
  </property>
</Properties>
</file>