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http://schemas.openxmlformats.org/wordprocessingml/2006/main"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http://schemas.openxmlformats.org/officeDocument/2006/math" xmlns:mc="http://schemas.openxmlformats.org/markup-compatibility/2006" xmlns:o="urn:schemas-microsoft-com:office:office" xmlns:r="http://schemas.openxmlformats.org/officeDocument/2006/relationships" xmlns:v="urn:schemas-microsoft-com:vml"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 Generated by Aspose.Words for Java 23.3.0 -->
  <w:background w:color="ffffff">
    <v:background filled="t" id="_x0000_s1025"/>
  </w:background>
  <w:body>
    <w:p>
      <w:pPr>
        <w:spacing w:line="300" w:lineRule="exact"/>
        <w:jc w:val="center"/>
        <w:rPr>
          <w:rStyle w:val="Strong"/>
          <w:rFonts w:ascii="黑体" w:cs="黑体" w:eastAsia="黑体" w:hAnsi="黑体" w:hint="eastAsia"/>
          <w:color w:themeColor="text1" w:val="000000"/>
          <w:spacing w:val="8"/>
          <w:kern w:val="0"/>
          <w:sz w:val="22"/>
          <w14:textFill>
            <w14:solidFill>
              <w14:schemeClr w14:val="tx1"/>
            </w14:solidFill>
          </w14:textFill>
        </w:rPr>
      </w:pPr>
      <w:r>
        <w:rPr>
          <w:rStyle w:val="Strong"/>
          <w:rFonts w:ascii="黑体" w:cs="黑体" w:eastAsia="黑体" w:hAnsi="黑体" w:hint="eastAsia"/>
          <w:color w:themeColor="text1" w:val="000000"/>
          <w:spacing w:val="8"/>
          <w:kern w:val="0"/>
          <w:sz w:val="22"/>
          <w14:textFill>
            <w14:solidFill>
              <w14:schemeClr w14:val="tx1"/>
            </w14:solidFill>
          </w14:textFill>
        </w:rPr>
        <w:drawing>
          <wp:anchor allowOverlap="1" behindDoc="0" layoutInCell="1" locked="0" relativeHeight="251658240" simplePos="0">
            <wp:simplePos x="0" y="0"/>
            <wp:positionH relativeFrom="page">
              <wp:posOffset>11671300</wp:posOffset>
            </wp:positionH>
            <wp:positionV relativeFrom="topMargin">
              <wp:posOffset>12534900</wp:posOffset>
            </wp:positionV>
            <wp:extent cx="393700" cy="368300"/>
            <wp:wrapNone/>
            <wp:docPr id="1000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
                    <pic:cNvPicPr>
                      <a:picLocks noChangeAspect="1"/>
                    </pic:cNvPicPr>
                  </pic:nvPicPr>
                  <pic:blipFill>
                    <a:blip r:embed="rId5"/>
                    <a:stretch>
                      <a:fillRect/>
                    </a:stretch>
                  </pic:blipFill>
                  <pic:spPr>
                    <a:xfrm>
                      <a:off x="0" y="0"/>
                      <a:ext cx="393700" cy="368300"/>
                    </a:xfrm>
                    <a:prstGeom prst="rect">
                      <a:avLst/>
                    </a:prstGeom>
                  </pic:spPr>
                </pic:pic>
              </a:graphicData>
            </a:graphic>
          </wp:anchor>
        </w:drawing>
      </w:r>
      <w:r>
        <w:rPr>
          <w:rStyle w:val="Strong"/>
          <w:rFonts w:ascii="黑体" w:cs="黑体" w:eastAsia="黑体" w:hAnsi="黑体" w:hint="eastAsia"/>
          <w:color w:themeColor="text1" w:val="000000"/>
          <w:spacing w:val="8"/>
          <w:kern w:val="0"/>
          <w:sz w:val="22"/>
          <w14:textFill>
            <w14:solidFill>
              <w14:schemeClr w14:val="tx1"/>
            </w14:solidFill>
          </w14:textFill>
        </w:rPr>
        <w:t>第一课 我国的生产资料所有制</w:t>
      </w:r>
    </w:p>
    <w:p>
      <w:pPr>
        <w:spacing w:line="300" w:lineRule="exact"/>
        <w:jc w:val="left"/>
        <w:rPr>
          <w:rFonts w:ascii="Times New Roman" w:cs="Times New Roman" w:eastAsia="宋体" w:hAnsi="Times New Roman"/>
          <w:color w:themeColor="text1" w:val="000000"/>
          <w:szCs w:val="21"/>
          <w14:textFill>
            <w14:solidFill>
              <w14:schemeClr w14:val="tx1"/>
            </w14:solidFill>
          </w14:textFill>
        </w:rPr>
      </w:pPr>
      <w:r>
        <w:rPr>
          <w:rFonts w:ascii="Times New Roman" w:cs="Times New Roman" w:hAnsi="Times New Roman"/>
          <w:color w:themeColor="text1" w:val="000000"/>
          <w:szCs w:val="21"/>
          <w14:textFill>
            <w14:solidFill>
              <w14:schemeClr w14:val="tx1"/>
            </w14:solidFill>
          </w14:textFill>
        </w:rPr>
        <w:t>1.巩固国有资产在社会总资产中的优势地位。</w:t>
      </w:r>
    </w:p>
    <w:p>
      <w:pPr>
        <w:numPr>
          <w:ilvl w:val="0"/>
          <w:numId w:val="1"/>
        </w:numPr>
        <w:spacing w:line="260" w:lineRule="exact"/>
        <w:jc w:val="left"/>
        <w:rPr>
          <w:rFonts w:ascii="楷体" w:cs="楷体" w:eastAsia="楷体" w:hAnsi="楷体" w:hint="eastAsia"/>
          <w:szCs w:val="21"/>
        </w:rPr>
      </w:pPr>
      <w:r>
        <w:rPr>
          <w:rFonts w:ascii="楷体" w:cs="楷体" w:eastAsia="楷体" w:hAnsi="楷体" w:hint="eastAsia"/>
          <w:szCs w:val="21"/>
        </w:rPr>
        <w:t>巩固公有资产在社会总资产中的优势地位。在中国，共有资产包括国有资产和集体所有资产。</w:t>
      </w:r>
    </w:p>
    <w:p>
      <w:pPr>
        <w:tabs>
          <w:tab w:pos="2730" w:val="left"/>
          <w:tab w:pos="5040" w:val="left"/>
          <w:tab w:pos="7350" w:val="left"/>
        </w:tabs>
        <w:spacing w:line="300" w:lineRule="exact"/>
        <w:jc w:val="left"/>
        <w:rPr>
          <w:rFonts w:ascii="Times New Roman" w:cs="Times New Roman" w:hAnsi="Times New Roman"/>
          <w:color w:themeColor="text1" w:val="000000"/>
          <w:szCs w:val="21"/>
          <w14:textFill>
            <w14:solidFill>
              <w14:schemeClr w14:val="tx1"/>
            </w14:solidFill>
          </w14:textFill>
        </w:rPr>
      </w:pPr>
      <w:r>
        <w:rPr>
          <w:rFonts w:ascii="Times New Roman" w:cs="Times New Roman" w:hAnsi="Times New Roman"/>
          <w:color w:themeColor="text1" w:val="000000"/>
          <w:szCs w:val="21"/>
          <w14:textFill>
            <w14:solidFill>
              <w14:schemeClr w14:val="tx1"/>
            </w14:solidFill>
          </w14:textFill>
        </w:rPr>
        <w:t>2.我国的国有企业是社会主义市场经济体制的根基。</w:t>
      </w:r>
    </w:p>
    <w:p>
      <w:pPr>
        <w:numPr>
          <w:ilvl w:val="0"/>
          <w:numId w:val="1"/>
        </w:numPr>
        <w:spacing w:line="260" w:lineRule="exact"/>
        <w:jc w:val="left"/>
        <w:rPr>
          <w:rFonts w:ascii="楷体" w:cs="楷体" w:eastAsia="楷体" w:hAnsi="楷体" w:hint="eastAsia"/>
          <w:szCs w:val="21"/>
        </w:rPr>
      </w:pPr>
      <w:r>
        <w:rPr>
          <w:rFonts w:ascii="楷体" w:cs="楷体" w:eastAsia="楷体" w:hAnsi="楷体" w:hint="eastAsia"/>
          <w:szCs w:val="21"/>
        </w:rPr>
        <w:t>以公有制为主体、多种所有制经济共同发展的基本经济制度是社会主义市场经济体制的根基。</w:t>
      </w:r>
    </w:p>
    <w:p>
      <w:pPr>
        <w:spacing w:line="300" w:lineRule="exact"/>
        <w:jc w:val="left"/>
        <w:rPr>
          <w:rFonts w:ascii="Times New Roman" w:cs="Times New Roman" w:hAnsi="Times New Roman"/>
          <w:color w:themeColor="text1" w:val="000000"/>
          <w:szCs w:val="21"/>
          <w14:textFill>
            <w14:solidFill>
              <w14:schemeClr w14:val="tx1"/>
            </w14:solidFill>
          </w14:textFill>
        </w:rPr>
      </w:pPr>
      <w:r>
        <w:rPr>
          <w:rFonts w:ascii="Times New Roman" w:cs="Times New Roman" w:hAnsi="Times New Roman"/>
          <w:color w:themeColor="text1" w:val="000000"/>
          <w:szCs w:val="21"/>
          <w14:textFill>
            <w14:solidFill>
              <w14:schemeClr w14:val="tx1"/>
            </w14:solidFill>
          </w14:textFill>
        </w:rPr>
        <w:t>3.</w:t>
      </w:r>
      <w:r>
        <w:rPr>
          <w:rFonts w:ascii="Times New Roman" w:cs="Times New Roman" w:hAnsi="Times New Roman" w:hint="eastAsia"/>
          <w:color w:themeColor="text1" w:val="000000"/>
          <w:szCs w:val="21"/>
          <w14:textFill>
            <w14:solidFill>
              <w14:schemeClr w14:val="tx1"/>
            </w14:solidFill>
          </w14:textFill>
        </w:rPr>
        <w:t>共同富裕</w:t>
      </w:r>
      <w:r>
        <w:rPr>
          <w:rFonts w:ascii="Times New Roman" w:cs="Times New Roman" w:hAnsi="Times New Roman"/>
          <w:color w:themeColor="text1" w:val="000000"/>
          <w:szCs w:val="21"/>
          <w14:textFill>
            <w14:solidFill>
              <w14:schemeClr w14:val="tx1"/>
            </w14:solidFill>
          </w14:textFill>
        </w:rPr>
        <w:t>是社会主义初级阶段经济制度的根本特征，是社会主义经济制度的基础。</w:t>
      </w:r>
    </w:p>
    <w:p>
      <w:pPr>
        <w:numPr>
          <w:ilvl w:val="0"/>
          <w:numId w:val="2"/>
        </w:numPr>
        <w:spacing w:line="300" w:lineRule="exact"/>
        <w:jc w:val="left"/>
        <w:rPr>
          <w:rFonts w:ascii="楷体" w:cs="楷体" w:eastAsia="楷体" w:hAnsi="楷体" w:hint="eastAsia"/>
          <w:sz w:val="20"/>
          <w:szCs w:val="20"/>
        </w:rPr>
      </w:pPr>
      <w:r>
        <w:rPr>
          <w:rFonts w:ascii="楷体" w:cs="楷体" w:eastAsia="楷体" w:hAnsi="楷体" w:hint="eastAsia"/>
          <w:sz w:val="20"/>
          <w:szCs w:val="20"/>
        </w:rPr>
        <w:t>以公有制为主体是社会主义初级阶段经济制度的根本特征，生产资料公有制是社会主义经济制度的基础。</w:t>
      </w:r>
    </w:p>
    <w:p>
      <w:pPr>
        <w:spacing w:line="300" w:lineRule="exact"/>
        <w:jc w:val="left"/>
        <w:rPr>
          <w:szCs w:val="21"/>
        </w:rPr>
      </w:pPr>
      <w:r>
        <w:rPr>
          <w:rFonts w:hint="eastAsia"/>
          <w:szCs w:val="21"/>
        </w:rPr>
        <w:t>4.生产资料是创造物质财富和价值的源泉。</w:t>
      </w:r>
    </w:p>
    <w:p>
      <w:pPr>
        <w:numPr>
          <w:ilvl w:val="0"/>
          <w:numId w:val="1"/>
        </w:numPr>
        <w:spacing w:line="260" w:lineRule="exact"/>
        <w:jc w:val="left"/>
        <w:rPr>
          <w:rFonts w:ascii="楷体" w:cs="楷体" w:eastAsia="楷体" w:hAnsi="楷体" w:hint="eastAsia"/>
          <w:szCs w:val="21"/>
        </w:rPr>
      </w:pPr>
      <w:r>
        <w:rPr>
          <w:rFonts w:ascii="楷体" w:cs="楷体" w:eastAsia="楷体" w:hAnsi="楷体" w:hint="eastAsia"/>
          <w:szCs w:val="21"/>
        </w:rPr>
        <w:t>劳动是物质财富的源泉，也是价值的唯一源泉。生产资料是创造物质财富和价值的条件。</w:t>
      </w:r>
    </w:p>
    <w:p>
      <w:pPr>
        <w:spacing w:line="300" w:lineRule="exact"/>
        <w:jc w:val="left"/>
        <w:rPr>
          <w:szCs w:val="21"/>
        </w:rPr>
      </w:pPr>
      <w:r>
        <w:rPr>
          <w:rFonts w:hint="eastAsia"/>
          <w:szCs w:val="21"/>
        </w:rPr>
        <w:t>5.我国的股份制企业都属于混合所有制经济。</w:t>
      </w:r>
    </w:p>
    <w:p>
      <w:pPr>
        <w:numPr>
          <w:ilvl w:val="0"/>
          <w:numId w:val="1"/>
        </w:numPr>
        <w:spacing w:line="260" w:lineRule="exact"/>
        <w:jc w:val="left"/>
        <w:rPr>
          <w:rFonts w:ascii="楷体" w:cs="楷体" w:eastAsia="楷体" w:hAnsi="楷体" w:hint="eastAsia"/>
          <w:szCs w:val="21"/>
        </w:rPr>
      </w:pPr>
      <w:r>
        <w:rPr>
          <w:rFonts w:ascii="楷体" w:cs="楷体" w:eastAsia="楷体" w:hAnsi="楷体" w:hint="eastAsia"/>
          <w:szCs w:val="21"/>
        </w:rPr>
        <w:t>混合所有制通常采用股份制形式,但我国的股份制企业不都是混合所有制经济。</w:t>
      </w:r>
    </w:p>
    <w:p>
      <w:pPr>
        <w:spacing w:line="300" w:lineRule="exact"/>
        <w:jc w:val="left"/>
        <w:rPr>
          <w:szCs w:val="21"/>
        </w:rPr>
      </w:pPr>
      <w:r>
        <w:rPr>
          <w:rFonts w:hint="eastAsia"/>
          <w:szCs w:val="21"/>
        </w:rPr>
        <w:t>6.当前，要保证公有制经济主体在使用资源要素、参与竞争和受到法律保护等方面的优先权。</w:t>
      </w:r>
    </w:p>
    <w:p>
      <w:pPr>
        <w:numPr>
          <w:ilvl w:val="0"/>
          <w:numId w:val="1"/>
        </w:numPr>
        <w:spacing w:line="260" w:lineRule="exact"/>
        <w:jc w:val="left"/>
        <w:rPr>
          <w:rFonts w:ascii="楷体" w:cs="楷体" w:eastAsia="楷体" w:hAnsi="楷体" w:hint="eastAsia"/>
          <w:szCs w:val="21"/>
        </w:rPr>
      </w:pPr>
      <w:r>
        <w:rPr>
          <w:rFonts w:ascii="楷体" w:cs="楷体" w:eastAsia="楷体" w:hAnsi="楷体" w:hint="eastAsia"/>
          <w:szCs w:val="21"/>
        </w:rPr>
        <w:t>在我国，各种所有制经济主体依法平等使用资源要素、公开公平公正参与市场竞争、同等受到法律保护，公有制经济没有上述优先权。</w:t>
      </w:r>
    </w:p>
    <w:p>
      <w:pPr>
        <w:spacing w:line="300" w:lineRule="exact"/>
        <w:jc w:val="left"/>
        <w:rPr>
          <w:szCs w:val="21"/>
        </w:rPr>
      </w:pPr>
      <w:r>
        <w:rPr>
          <w:rFonts w:hint="eastAsia"/>
          <w:szCs w:val="21"/>
        </w:rPr>
        <w:t>7.非公有制经济是社会主义经济的重要组成部分。</w:t>
      </w:r>
    </w:p>
    <w:p>
      <w:pPr>
        <w:numPr>
          <w:ilvl w:val="0"/>
          <w:numId w:val="1"/>
        </w:numPr>
        <w:spacing w:line="260" w:lineRule="exact"/>
        <w:jc w:val="left"/>
        <w:rPr>
          <w:rFonts w:ascii="Times New Roman" w:cs="Times New Roman" w:eastAsia="楷体" w:hAnsi="Times New Roman"/>
          <w:color w:themeColor="text1" w:val="000000"/>
          <w:sz w:val="20"/>
          <w:szCs w:val="20"/>
          <w14:textFill>
            <w14:solidFill>
              <w14:schemeClr w14:val="tx1"/>
            </w14:solidFill>
          </w14:textFill>
        </w:rPr>
      </w:pPr>
      <w:r>
        <w:rPr>
          <w:rFonts w:ascii="Times New Roman" w:cs="Times New Roman" w:eastAsia="楷体" w:hAnsi="Times New Roman"/>
          <w:color w:themeColor="text1" w:val="000000"/>
          <w:sz w:val="20"/>
          <w:szCs w:val="20"/>
          <w14:textFill>
            <w14:solidFill>
              <w14:schemeClr w14:val="tx1"/>
            </w14:solidFill>
          </w14:textFill>
        </w:rPr>
        <w:t>非公有制经济是社会主义市场经济的重要组成部分。</w:t>
      </w:r>
    </w:p>
    <w:p>
      <w:pPr>
        <w:spacing w:line="300" w:lineRule="exact"/>
        <w:jc w:val="left"/>
        <w:rPr>
          <w:szCs w:val="21"/>
        </w:rPr>
      </w:pPr>
      <w:r>
        <w:rPr>
          <w:rFonts w:hint="eastAsia"/>
          <w:szCs w:val="21"/>
        </w:rPr>
        <w:t>8.我国各种所有制经济地位相同、相互促进。</w:t>
      </w:r>
    </w:p>
    <w:p>
      <w:pPr>
        <w:numPr>
          <w:ilvl w:val="0"/>
          <w:numId w:val="1"/>
        </w:numPr>
        <w:spacing w:line="260" w:lineRule="exact"/>
        <w:jc w:val="left"/>
        <w:rPr>
          <w:rFonts w:ascii="楷体" w:cs="楷体" w:eastAsia="楷体" w:hAnsi="楷体" w:hint="eastAsia"/>
          <w:szCs w:val="21"/>
        </w:rPr>
      </w:pPr>
      <w:r>
        <w:rPr>
          <w:rFonts w:ascii="楷体" w:cs="楷体" w:eastAsia="楷体" w:hAnsi="楷体" w:hint="eastAsia"/>
          <w:szCs w:val="21"/>
        </w:rPr>
        <w:t>我国各种所有制经济在国民经济中的地位是不同的，公有制经济是主体，非公有制经济是是社会主义市场经济重要组成部分。</w:t>
      </w:r>
    </w:p>
    <w:p>
      <w:pPr>
        <w:spacing w:line="300" w:lineRule="exact"/>
        <w:jc w:val="left"/>
        <w:rPr>
          <w:rFonts w:ascii="宋体" w:eastAsia="宋体" w:hAnsi="宋体" w:hint="eastAsia"/>
          <w:szCs w:val="21"/>
        </w:rPr>
      </w:pPr>
      <w:r>
        <w:rPr>
          <w:rFonts w:ascii="宋体" w:eastAsia="宋体" w:hAnsi="宋体" w:hint="eastAsia"/>
          <w:szCs w:val="21"/>
        </w:rPr>
        <w:t>9.</w:t>
      </w:r>
      <w:r>
        <w:rPr>
          <w:rFonts w:ascii="宋体" w:eastAsia="宋体" w:hAnsi="宋体"/>
          <w:szCs w:val="21"/>
        </w:rPr>
        <w:t>我国要毫不动摇巩固和发展非公有制经济。</w:t>
      </w:r>
    </w:p>
    <w:p>
      <w:pPr>
        <w:numPr>
          <w:ilvl w:val="0"/>
          <w:numId w:val="1"/>
        </w:numPr>
        <w:spacing w:line="260" w:lineRule="exact"/>
        <w:jc w:val="left"/>
        <w:rPr>
          <w:rFonts w:ascii="楷体" w:cs="楷体" w:eastAsia="楷体" w:hAnsi="楷体" w:hint="eastAsia"/>
          <w:szCs w:val="21"/>
        </w:rPr>
      </w:pPr>
      <w:r>
        <w:rPr>
          <w:rFonts w:ascii="楷体" w:cs="楷体" w:eastAsia="楷体" w:hAnsi="楷体" w:hint="eastAsia"/>
          <w:szCs w:val="21"/>
        </w:rPr>
        <w:t>我国要毫不动摇巩固和发展公有制经济，毫不动摇鼓励、支持、引导非公有制经济发展。</w:t>
      </w:r>
    </w:p>
    <w:p>
      <w:pPr>
        <w:spacing w:line="300" w:lineRule="exact"/>
        <w:jc w:val="left"/>
        <w:rPr>
          <w:rFonts w:ascii="Times New Roman" w:cs="Times New Roman" w:hAnsi="Times New Roman"/>
          <w:color w:themeColor="text1" w:val="000000"/>
          <w:szCs w:val="21"/>
          <w14:textFill>
            <w14:solidFill>
              <w14:schemeClr w14:val="tx1"/>
            </w14:solidFill>
          </w14:textFill>
        </w:rPr>
      </w:pPr>
      <w:r>
        <w:rPr>
          <w:rFonts w:ascii="Times New Roman" w:cs="Times New Roman" w:hAnsi="Times New Roman" w:hint="eastAsia"/>
          <w:color w:themeColor="text1" w:val="000000"/>
          <w:szCs w:val="21"/>
          <w14:textFill>
            <w14:solidFill>
              <w14:schemeClr w14:val="tx1"/>
            </w14:solidFill>
          </w14:textFill>
        </w:rPr>
        <w:t>10</w:t>
      </w:r>
      <w:r>
        <w:rPr>
          <w:rFonts w:ascii="Times New Roman" w:cs="Times New Roman" w:hAnsi="Times New Roman"/>
          <w:color w:themeColor="text1" w:val="000000"/>
          <w:szCs w:val="21"/>
          <w14:textFill>
            <w14:solidFill>
              <w14:schemeClr w14:val="tx1"/>
            </w14:solidFill>
          </w14:textFill>
        </w:rPr>
        <w:t>.国有经济是中国特色社会主义的重要物质基础和政治基础，是我们党执政兴国的重要支柱和依靠力量。</w:t>
      </w:r>
    </w:p>
    <w:p>
      <w:pPr>
        <w:numPr>
          <w:ilvl w:val="0"/>
          <w:numId w:val="1"/>
        </w:numPr>
        <w:spacing w:line="260" w:lineRule="exact"/>
        <w:jc w:val="left"/>
        <w:rPr>
          <w:rFonts w:ascii="楷体" w:cs="楷体" w:eastAsia="楷体" w:hAnsi="楷体" w:hint="eastAsia"/>
          <w:szCs w:val="21"/>
        </w:rPr>
      </w:pPr>
      <w:r>
        <w:rPr>
          <w:rFonts w:ascii="楷体" w:cs="楷体" w:eastAsia="楷体" w:hAnsi="楷体" w:hint="eastAsia"/>
          <w:szCs w:val="21"/>
        </w:rPr>
        <w:t>不是国有经济，而是国有企业。</w:t>
      </w:r>
    </w:p>
    <w:p>
      <w:pPr>
        <w:spacing w:line="300" w:lineRule="exact"/>
        <w:jc w:val="left"/>
        <w:rPr>
          <w:rFonts w:ascii="Times New Roman" w:cs="Times New Roman" w:hAnsi="Times New Roman"/>
          <w:color w:themeColor="text1" w:val="000000"/>
          <w:szCs w:val="21"/>
          <w14:textFill>
            <w14:solidFill>
              <w14:schemeClr w14:val="tx1"/>
            </w14:solidFill>
          </w14:textFill>
        </w:rPr>
      </w:pPr>
      <w:r>
        <w:rPr>
          <w:rFonts w:ascii="Times New Roman" w:cs="Times New Roman" w:hAnsi="Times New Roman" w:hint="eastAsia"/>
          <w:color w:themeColor="text1" w:val="000000"/>
          <w:szCs w:val="21"/>
          <w14:textFill>
            <w14:solidFill>
              <w14:schemeClr w14:val="tx1"/>
            </w14:solidFill>
          </w14:textFill>
        </w:rPr>
        <w:t>11</w:t>
      </w:r>
      <w:r>
        <w:rPr>
          <w:rFonts w:ascii="Times New Roman" w:cs="Times New Roman" w:hAnsi="Times New Roman"/>
          <w:color w:themeColor="text1" w:val="000000"/>
          <w:szCs w:val="21"/>
          <w14:textFill>
            <w14:solidFill>
              <w14:schemeClr w14:val="tx1"/>
            </w14:solidFill>
          </w14:textFill>
        </w:rPr>
        <w:t>.国企混合所有制改革有利于焕发国企活力，改变公有资产所有制性质。</w:t>
      </w:r>
    </w:p>
    <w:p>
      <w:pPr>
        <w:numPr>
          <w:ilvl w:val="0"/>
          <w:numId w:val="1"/>
        </w:numPr>
        <w:spacing w:line="260" w:lineRule="exact"/>
        <w:jc w:val="left"/>
        <w:rPr>
          <w:rFonts w:ascii="楷体" w:cs="楷体" w:eastAsia="楷体" w:hAnsi="楷体" w:hint="eastAsia"/>
          <w:szCs w:val="21"/>
        </w:rPr>
      </w:pPr>
      <w:r>
        <w:rPr>
          <w:rFonts w:ascii="楷体" w:cs="楷体" w:eastAsia="楷体" w:hAnsi="楷体" w:hint="eastAsia"/>
          <w:szCs w:val="21"/>
        </w:rPr>
        <w:t>没有改变公有资产所有制性质。</w:t>
      </w:r>
    </w:p>
    <w:p>
      <w:pPr>
        <w:spacing w:line="300" w:lineRule="exact"/>
        <w:jc w:val="left"/>
        <w:rPr>
          <w:rFonts w:ascii="宋体" w:eastAsia="宋体" w:hAnsi="宋体" w:hint="eastAsia"/>
          <w:szCs w:val="21"/>
        </w:rPr>
      </w:pPr>
      <w:r>
        <w:rPr>
          <w:rFonts w:ascii="宋体" w:eastAsia="宋体" w:hAnsi="宋体" w:hint="eastAsia"/>
          <w:szCs w:val="21"/>
        </w:rPr>
        <w:t>12.</w:t>
      </w:r>
      <w:r>
        <w:rPr>
          <w:rFonts w:ascii="宋体" w:eastAsia="宋体" w:hAnsi="宋体"/>
          <w:szCs w:val="21"/>
        </w:rPr>
        <w:t>抓好国有企业的党建工作，就是要直接参与国有企业的经营管理，推动国企健康发展。</w:t>
      </w:r>
    </w:p>
    <w:p>
      <w:pPr>
        <w:numPr>
          <w:ilvl w:val="0"/>
          <w:numId w:val="1"/>
        </w:numPr>
        <w:spacing w:line="260" w:lineRule="exact"/>
        <w:jc w:val="left"/>
        <w:rPr>
          <w:rFonts w:ascii="楷体" w:cs="楷体" w:eastAsia="楷体" w:hAnsi="楷体" w:hint="eastAsia"/>
          <w:szCs w:val="21"/>
        </w:rPr>
      </w:pPr>
      <w:r>
        <w:rPr>
          <w:rFonts w:ascii="楷体" w:cs="楷体" w:eastAsia="楷体" w:hAnsi="楷体" w:hint="eastAsia"/>
          <w:szCs w:val="21"/>
        </w:rPr>
        <w:t>党对国企的领导是政治性、方向性的，不直接参与国有企业的经营管理。</w:t>
      </w:r>
    </w:p>
    <w:p>
      <w:pPr>
        <w:spacing w:line="300" w:lineRule="exact"/>
        <w:jc w:val="left"/>
        <w:rPr>
          <w:rFonts w:ascii="宋体" w:eastAsia="宋体" w:hAnsi="宋体" w:hint="eastAsia"/>
          <w:sz w:val="20"/>
          <w:szCs w:val="20"/>
          <w:highlight w:val="none"/>
        </w:rPr>
      </w:pPr>
      <w:r>
        <w:rPr>
          <w:rFonts w:ascii="宋体" w:eastAsia="宋体" w:hAnsi="宋体" w:hint="eastAsia"/>
          <w:sz w:val="20"/>
          <w:szCs w:val="20"/>
          <w:highlight w:val="none"/>
        </w:rPr>
        <w:t>13.</w:t>
      </w:r>
      <w:r>
        <w:rPr>
          <w:rFonts w:ascii="宋体" w:eastAsia="宋体" w:hAnsi="宋体"/>
          <w:sz w:val="20"/>
          <w:szCs w:val="20"/>
          <w:highlight w:val="none"/>
        </w:rPr>
        <w:t>深化农村土地制度改革，有利于保障农民的土地所有权。</w:t>
      </w:r>
    </w:p>
    <w:p>
      <w:pPr>
        <w:numPr>
          <w:ilvl w:val="0"/>
          <w:numId w:val="1"/>
        </w:numPr>
        <w:spacing w:line="260" w:lineRule="exact"/>
        <w:jc w:val="left"/>
        <w:rPr>
          <w:rFonts w:ascii="楷体" w:cs="楷体" w:eastAsia="楷体" w:hAnsi="楷体" w:hint="eastAsia"/>
          <w:szCs w:val="21"/>
          <w:highlight w:val="none"/>
        </w:rPr>
      </w:pPr>
      <w:r>
        <w:rPr>
          <w:rFonts w:ascii="楷体" w:cs="楷体" w:eastAsia="楷体" w:hAnsi="楷体" w:hint="eastAsia"/>
          <w:b w:val="0"/>
          <w:bCs w:val="0"/>
          <w:szCs w:val="21"/>
          <w:highlight w:val="none"/>
        </w:rPr>
        <w:t>农村土地实行三权分置</w:t>
      </w:r>
      <w:r>
        <w:rPr>
          <w:rFonts w:ascii="楷体" w:cs="楷体" w:eastAsia="楷体" w:hAnsi="楷体" w:hint="eastAsia"/>
          <w:b w:val="0"/>
          <w:bCs w:val="0"/>
          <w:szCs w:val="21"/>
          <w:highlight w:val="none"/>
          <w:lang w:eastAsia="zh-CN"/>
        </w:rPr>
        <w:t>。</w:t>
      </w:r>
      <w:r>
        <w:rPr>
          <w:rFonts w:ascii="楷体" w:cs="楷体" w:eastAsia="楷体" w:hAnsi="楷体" w:hint="eastAsia"/>
          <w:b w:val="0"/>
          <w:bCs w:val="0"/>
          <w:szCs w:val="21"/>
          <w:highlight w:val="none"/>
        </w:rPr>
        <w:t>所有权归村集体所有</w:t>
      </w:r>
      <w:r>
        <w:rPr>
          <w:rFonts w:ascii="楷体" w:cs="楷体" w:eastAsia="楷体" w:hAnsi="楷体" w:hint="eastAsia"/>
          <w:b w:val="0"/>
          <w:bCs w:val="0"/>
          <w:szCs w:val="21"/>
          <w:highlight w:val="none"/>
          <w:lang w:eastAsia="zh-CN"/>
        </w:rPr>
        <w:t>，</w:t>
      </w:r>
      <w:r>
        <w:rPr>
          <w:rFonts w:ascii="楷体" w:cs="楷体" w:eastAsia="楷体" w:hAnsi="楷体" w:hint="eastAsia"/>
          <w:b w:val="0"/>
          <w:bCs w:val="0"/>
          <w:szCs w:val="21"/>
          <w:highlight w:val="none"/>
        </w:rPr>
        <w:t>承包权归签订承包合同的农民所有</w:t>
      </w:r>
      <w:r>
        <w:rPr>
          <w:rFonts w:ascii="楷体" w:cs="楷体" w:eastAsia="楷体" w:hAnsi="楷体" w:hint="eastAsia"/>
          <w:b w:val="0"/>
          <w:bCs w:val="0"/>
          <w:szCs w:val="21"/>
          <w:highlight w:val="none"/>
          <w:lang w:eastAsia="zh-CN"/>
        </w:rPr>
        <w:t>，</w:t>
      </w:r>
      <w:r>
        <w:rPr>
          <w:rFonts w:ascii="楷体" w:cs="楷体" w:eastAsia="楷体" w:hAnsi="楷体" w:hint="eastAsia"/>
          <w:b w:val="0"/>
          <w:bCs w:val="0"/>
          <w:szCs w:val="21"/>
          <w:highlight w:val="none"/>
        </w:rPr>
        <w:t>经营权</w:t>
      </w:r>
      <w:r>
        <w:rPr>
          <w:rFonts w:ascii="楷体" w:cs="楷体" w:eastAsia="楷体" w:hAnsi="楷体" w:hint="eastAsia"/>
          <w:b w:val="0"/>
          <w:bCs w:val="0"/>
          <w:szCs w:val="21"/>
          <w:highlight w:val="none"/>
          <w:lang w:eastAsia="zh-CN" w:val="en-US"/>
        </w:rPr>
        <w:t>归</w:t>
      </w:r>
      <w:r>
        <w:rPr>
          <w:rFonts w:ascii="楷体" w:cs="楷体" w:eastAsia="楷体" w:hAnsi="楷体" w:hint="eastAsia"/>
          <w:b w:val="0"/>
          <w:bCs w:val="0"/>
          <w:szCs w:val="21"/>
          <w:highlight w:val="none"/>
        </w:rPr>
        <w:t>农村土地流转后负责经营土地的人所有。</w:t>
      </w:r>
      <w:r>
        <w:rPr>
          <w:rFonts w:ascii="楷体" w:cs="楷体" w:eastAsia="楷体" w:hAnsi="楷体" w:hint="eastAsia"/>
          <w:b w:val="0"/>
          <w:bCs w:val="0"/>
          <w:szCs w:val="21"/>
          <w:highlight w:val="none"/>
          <w:lang w:eastAsia="zh-CN" w:val="en-US"/>
        </w:rPr>
        <w:t>其中，</w:t>
      </w:r>
      <w:r>
        <w:rPr>
          <w:rFonts w:ascii="楷体" w:cs="楷体" w:eastAsia="楷体" w:hAnsi="楷体" w:hint="eastAsia"/>
          <w:b w:val="0"/>
          <w:bCs w:val="0"/>
          <w:szCs w:val="21"/>
          <w:highlight w:val="none"/>
        </w:rPr>
        <w:t>可以流转的只有经营权</w:t>
      </w:r>
      <w:r>
        <w:rPr>
          <w:rFonts w:ascii="楷体" w:cs="楷体" w:eastAsia="楷体" w:hAnsi="楷体" w:hint="eastAsia"/>
          <w:b w:val="0"/>
          <w:bCs w:val="0"/>
          <w:szCs w:val="21"/>
          <w:highlight w:val="none"/>
          <w:lang w:eastAsia="zh-CN"/>
        </w:rPr>
        <w:t>。</w:t>
      </w:r>
    </w:p>
    <w:p>
      <w:pPr>
        <w:spacing w:line="300" w:lineRule="exact"/>
        <w:jc w:val="left"/>
        <w:rPr>
          <w:rFonts w:ascii="宋体" w:eastAsia="宋体" w:hAnsi="宋体" w:hint="eastAsia"/>
          <w:szCs w:val="21"/>
        </w:rPr>
      </w:pPr>
      <w:r>
        <w:rPr>
          <w:rFonts w:ascii="Times New Roman" w:cs="Times New Roman" w:hAnsi="Times New Roman" w:hint="eastAsia"/>
          <w:color w:themeColor="text1" w:val="000000"/>
          <w:szCs w:val="21"/>
          <w14:textFill>
            <w14:solidFill>
              <w14:schemeClr w14:val="tx1"/>
            </w14:solidFill>
          </w14:textFill>
        </w:rPr>
        <w:t>14</w:t>
      </w:r>
      <w:r>
        <w:rPr>
          <w:rFonts w:ascii="Times New Roman" w:cs="Times New Roman" w:hAnsi="Times New Roman"/>
          <w:color w:themeColor="text1" w:val="000000"/>
          <w:szCs w:val="21"/>
          <w14:textFill>
            <w14:solidFill>
              <w14:schemeClr w14:val="tx1"/>
            </w14:solidFill>
          </w14:textFill>
        </w:rPr>
        <w:t>.</w:t>
      </w:r>
      <w:r>
        <w:rPr>
          <w:rFonts w:ascii="宋体" w:eastAsia="宋体" w:hAnsi="宋体"/>
          <w:szCs w:val="21"/>
        </w:rPr>
        <w:t>国企与民企交叉持股，能让国有经济与民营经济共同发挥主导作用。</w:t>
      </w:r>
    </w:p>
    <w:p>
      <w:pPr>
        <w:numPr>
          <w:ilvl w:val="0"/>
          <w:numId w:val="1"/>
        </w:numPr>
        <w:spacing w:line="260" w:lineRule="exact"/>
        <w:jc w:val="left"/>
      </w:pPr>
      <w:r>
        <w:rPr>
          <w:rFonts w:ascii="楷体" w:cs="楷体" w:eastAsia="楷体" w:hAnsi="楷体" w:hint="eastAsia"/>
          <w:szCs w:val="21"/>
        </w:rPr>
        <w:t>在我国国民经济中，国有经济发挥主导作用。</w:t>
      </w:r>
    </w:p>
    <w:p>
      <w:pPr>
        <w:pStyle w:val="BodyText"/>
        <w:spacing w:line="300" w:lineRule="exact"/>
      </w:pPr>
    </w:p>
    <w:p>
      <w:pPr>
        <w:spacing w:before="100" w:line="300" w:lineRule="exact"/>
        <w:jc w:val="center"/>
        <w:rPr>
          <w:rStyle w:val="Strong"/>
          <w:rFonts w:ascii="黑体" w:cs="黑体" w:eastAsia="黑体" w:hAnsi="黑体" w:hint="eastAsia"/>
          <w:color w:themeColor="text1" w:val="000000"/>
          <w:spacing w:val="8"/>
          <w:kern w:val="0"/>
          <w:sz w:val="22"/>
          <w14:textFill>
            <w14:solidFill>
              <w14:schemeClr w14:val="tx1"/>
            </w14:solidFill>
          </w14:textFill>
        </w:rPr>
      </w:pPr>
      <w:r>
        <w:rPr>
          <w:rStyle w:val="Strong"/>
          <w:rFonts w:ascii="黑体" w:cs="黑体" w:eastAsia="黑体" w:hAnsi="黑体" w:hint="eastAsia"/>
          <w:color w:themeColor="text1" w:val="000000"/>
          <w:spacing w:val="8"/>
          <w:kern w:val="0"/>
          <w:sz w:val="22"/>
          <w14:textFill>
            <w14:solidFill>
              <w14:schemeClr w14:val="tx1"/>
            </w14:solidFill>
          </w14:textFill>
        </w:rPr>
        <w:t>第二课 我国的社会主义市场经济体制</w:t>
      </w:r>
    </w:p>
    <w:p>
      <w:pPr>
        <w:spacing w:line="300" w:lineRule="exact"/>
        <w:jc w:val="left"/>
        <w:rPr>
          <w:rFonts w:ascii="宋体" w:eastAsia="宋体" w:hAnsi="宋体" w:hint="eastAsia"/>
          <w:szCs w:val="21"/>
        </w:rPr>
      </w:pPr>
      <w:r>
        <w:rPr>
          <w:rFonts w:ascii="宋体" w:eastAsia="宋体" w:hAnsi="宋体" w:hint="eastAsia"/>
          <w:szCs w:val="21"/>
        </w:rPr>
        <w:t>1.</w:t>
      </w:r>
      <w:r>
        <w:rPr>
          <w:rFonts w:ascii="宋体" w:eastAsia="宋体" w:hAnsi="宋体"/>
          <w:szCs w:val="21"/>
        </w:rPr>
        <w:t>必须充分发挥市场调节这只“看得见的手”在资源配置中的决定性作用。</w:t>
      </w:r>
    </w:p>
    <w:p>
      <w:pPr>
        <w:numPr>
          <w:ilvl w:val="0"/>
          <w:numId w:val="1"/>
        </w:numPr>
        <w:spacing w:line="260" w:lineRule="exact"/>
        <w:jc w:val="left"/>
        <w:rPr>
          <w:rFonts w:ascii="楷体" w:cs="楷体" w:eastAsia="楷体" w:hAnsi="楷体" w:hint="eastAsia"/>
          <w:szCs w:val="21"/>
        </w:rPr>
      </w:pPr>
      <w:r>
        <w:rPr>
          <w:rFonts w:ascii="楷体" w:cs="楷体" w:eastAsia="楷体" w:hAnsi="楷体" w:hint="eastAsia"/>
          <w:szCs w:val="21"/>
        </w:rPr>
        <w:t>在资源配置中，市场调节属于“看不见的手”； “看得见的手”是指国家的宏观调控。</w:t>
      </w:r>
    </w:p>
    <w:p>
      <w:pPr>
        <w:spacing w:line="300" w:lineRule="exact"/>
        <w:jc w:val="left"/>
        <w:rPr>
          <w:rFonts w:ascii="宋体" w:eastAsia="宋体" w:hAnsi="宋体" w:hint="eastAsia"/>
          <w:szCs w:val="21"/>
        </w:rPr>
      </w:pPr>
      <w:r>
        <w:rPr>
          <w:rFonts w:ascii="宋体" w:eastAsia="宋体" w:hAnsi="宋体" w:hint="eastAsia"/>
          <w:szCs w:val="21"/>
        </w:rPr>
        <w:t>2.</w:t>
      </w:r>
      <w:r>
        <w:rPr>
          <w:rFonts w:ascii="宋体" w:eastAsia="宋体" w:hAnsi="宋体"/>
          <w:szCs w:val="21"/>
        </w:rPr>
        <w:t>我国社会主义市场经济体制的根本目标是处理好政府与市场的关系。</w:t>
      </w:r>
    </w:p>
    <w:p>
      <w:pPr>
        <w:numPr>
          <w:ilvl w:val="0"/>
          <w:numId w:val="1"/>
        </w:numPr>
        <w:spacing w:line="260" w:lineRule="exact"/>
        <w:jc w:val="left"/>
        <w:rPr>
          <w:rFonts w:ascii="楷体" w:cs="楷体" w:eastAsia="楷体" w:hAnsi="楷体" w:hint="eastAsia"/>
          <w:szCs w:val="21"/>
        </w:rPr>
      </w:pPr>
      <w:r>
        <w:rPr>
          <w:rFonts w:ascii="楷体" w:cs="楷体" w:eastAsia="楷体" w:hAnsi="楷体" w:hint="eastAsia"/>
          <w:szCs w:val="21"/>
        </w:rPr>
        <w:t>我国社会主义市场经济体制的根本目标是促进全体人民实现共同富裕。</w:t>
      </w:r>
    </w:p>
    <w:p>
      <w:pPr>
        <w:spacing w:line="300" w:lineRule="exact"/>
        <w:jc w:val="left"/>
        <w:rPr>
          <w:rFonts w:ascii="宋体" w:eastAsia="宋体" w:hAnsi="宋体" w:hint="eastAsia"/>
          <w:szCs w:val="21"/>
        </w:rPr>
      </w:pPr>
      <w:r>
        <w:rPr>
          <w:rFonts w:ascii="宋体" w:eastAsia="宋体" w:hAnsi="宋体" w:hint="eastAsia"/>
          <w:szCs w:val="21"/>
        </w:rPr>
        <w:t>3.</w:t>
      </w:r>
      <w:r>
        <w:rPr>
          <w:rFonts w:ascii="宋体" w:eastAsia="宋体" w:hAnsi="宋体"/>
          <w:szCs w:val="21"/>
        </w:rPr>
        <w:t xml:space="preserve"> 减税等税收优惠措施有利于发挥积极的货币政策对我国经济发展的推动作用。</w:t>
      </w:r>
    </w:p>
    <w:p>
      <w:pPr>
        <w:numPr>
          <w:ilvl w:val="0"/>
          <w:numId w:val="1"/>
        </w:numPr>
        <w:spacing w:line="260" w:lineRule="exact"/>
        <w:jc w:val="left"/>
        <w:rPr>
          <w:rFonts w:ascii="楷体" w:cs="楷体" w:eastAsia="楷体" w:hAnsi="楷体" w:hint="eastAsia"/>
          <w:szCs w:val="21"/>
        </w:rPr>
      </w:pPr>
      <w:r>
        <w:rPr>
          <w:rFonts w:ascii="楷体" w:cs="楷体" w:eastAsia="楷体" w:hAnsi="楷体" w:hint="eastAsia"/>
          <w:szCs w:val="21"/>
        </w:rPr>
        <w:t>减税等税收优惠措施属于积极的财政政策，而不是货币政策。</w:t>
      </w:r>
    </w:p>
    <w:p>
      <w:pPr>
        <w:spacing w:line="300" w:lineRule="exact"/>
        <w:jc w:val="left"/>
        <w:rPr>
          <w:rFonts w:ascii="宋体" w:eastAsia="宋体" w:hAnsi="宋体" w:hint="eastAsia"/>
          <w:szCs w:val="21"/>
        </w:rPr>
      </w:pPr>
      <w:r>
        <w:rPr>
          <w:rFonts w:ascii="宋体" w:eastAsia="宋体" w:hAnsi="宋体" w:hint="eastAsia"/>
          <w:szCs w:val="21"/>
        </w:rPr>
        <w:t>4.</w:t>
      </w:r>
      <w:r>
        <w:rPr>
          <w:rFonts w:ascii="宋体" w:eastAsia="宋体" w:hAnsi="宋体"/>
          <w:szCs w:val="21"/>
        </w:rPr>
        <w:t>在经济增长滞缓时，适度的财政赤字会增加社会总供给，推动经济发展。</w:t>
      </w:r>
    </w:p>
    <w:p>
      <w:pPr>
        <w:numPr>
          <w:ilvl w:val="0"/>
          <w:numId w:val="1"/>
        </w:numPr>
        <w:spacing w:line="260" w:lineRule="exact"/>
        <w:jc w:val="left"/>
        <w:rPr>
          <w:rFonts w:ascii="楷体" w:cs="楷体" w:eastAsia="楷体" w:hAnsi="楷体" w:hint="eastAsia"/>
          <w:szCs w:val="21"/>
        </w:rPr>
      </w:pPr>
      <w:r>
        <w:rPr>
          <w:rFonts w:ascii="楷体" w:cs="楷体" w:eastAsia="楷体" w:hAnsi="楷体" w:hint="eastAsia"/>
          <w:szCs w:val="21"/>
        </w:rPr>
        <w:t>在经济增长滞缓时，适度的财政赤字会增加社会总需求，推动经济发展。</w:t>
      </w:r>
    </w:p>
    <w:p>
      <w:pPr>
        <w:spacing w:line="300" w:lineRule="exact"/>
        <w:jc w:val="left"/>
        <w:rPr>
          <w:rFonts w:ascii="宋体" w:eastAsia="宋体" w:hAnsi="宋体" w:hint="eastAsia"/>
          <w:szCs w:val="21"/>
        </w:rPr>
      </w:pPr>
      <w:r>
        <w:rPr>
          <w:rFonts w:ascii="宋体" w:eastAsia="宋体" w:hAnsi="宋体" w:hint="eastAsia"/>
          <w:szCs w:val="21"/>
        </w:rPr>
        <w:t>5.</w:t>
      </w:r>
      <w:r>
        <w:rPr>
          <w:rFonts w:ascii="宋体" w:eastAsia="宋体" w:hAnsi="宋体"/>
          <w:sz w:val="20"/>
          <w:szCs w:val="20"/>
        </w:rPr>
        <w:t>一般来说，财政政策对经济的调控作用要比货币政策强。</w:t>
      </w:r>
    </w:p>
    <w:p>
      <w:pPr>
        <w:numPr>
          <w:ilvl w:val="0"/>
          <w:numId w:val="1"/>
        </w:numPr>
        <w:spacing w:line="260" w:lineRule="exact"/>
        <w:jc w:val="left"/>
        <w:rPr>
          <w:rFonts w:ascii="楷体" w:cs="楷体" w:eastAsia="楷体" w:hAnsi="楷体" w:hint="eastAsia"/>
          <w:szCs w:val="21"/>
        </w:rPr>
      </w:pPr>
      <w:r>
        <w:rPr>
          <w:rFonts w:ascii="楷体" w:cs="楷体" w:eastAsia="楷体" w:hAnsi="楷体" w:hint="eastAsia"/>
          <w:szCs w:val="21"/>
        </w:rPr>
        <w:t>二者不能说谁的调控作用更强。在不同的经济形势下，政府可选择财政政策和货币政策的不同组合，实现宏观调控目标。</w:t>
      </w:r>
    </w:p>
    <w:p>
      <w:pPr>
        <w:spacing w:line="300" w:lineRule="exact"/>
        <w:jc w:val="left"/>
        <w:rPr>
          <w:rFonts w:ascii="Times New Roman" w:cs="Times New Roman" w:hAnsi="Times New Roman"/>
          <w:color w:themeColor="text1" w:val="000000"/>
          <w:szCs w:val="21"/>
          <w14:textFill>
            <w14:solidFill>
              <w14:schemeClr w14:val="tx1"/>
            </w14:solidFill>
          </w14:textFill>
        </w:rPr>
      </w:pPr>
      <w:r>
        <w:rPr>
          <w:rFonts w:ascii="Times New Roman" w:cs="Times New Roman" w:hAnsi="Times New Roman" w:hint="eastAsia"/>
          <w:color w:themeColor="text1" w:val="000000"/>
          <w:szCs w:val="21"/>
          <w14:textFill>
            <w14:solidFill>
              <w14:schemeClr w14:val="tx1"/>
            </w14:solidFill>
          </w14:textFill>
        </w:rPr>
        <w:t>6</w:t>
      </w:r>
      <w:r>
        <w:rPr>
          <w:rFonts w:ascii="Times New Roman" w:cs="Times New Roman" w:hAnsi="Times New Roman"/>
          <w:color w:themeColor="text1" w:val="000000"/>
          <w:szCs w:val="21"/>
          <w14:textFill>
            <w14:solidFill>
              <w14:schemeClr w14:val="tx1"/>
            </w14:solidFill>
          </w14:textFill>
        </w:rPr>
        <w:t>.消除市场缺陷，保障公平竞争。</w:t>
      </w:r>
    </w:p>
    <w:p>
      <w:pPr>
        <w:numPr>
          <w:ilvl w:val="0"/>
          <w:numId w:val="1"/>
        </w:numPr>
        <w:spacing w:line="260" w:lineRule="exact"/>
        <w:jc w:val="left"/>
        <w:rPr>
          <w:rFonts w:ascii="楷体" w:cs="楷体" w:eastAsia="楷体" w:hAnsi="楷体" w:hint="eastAsia"/>
          <w:szCs w:val="21"/>
        </w:rPr>
      </w:pPr>
      <w:r>
        <w:rPr>
          <w:rFonts w:ascii="楷体" w:cs="楷体" w:eastAsia="楷体" w:hAnsi="楷体" w:hint="eastAsia"/>
          <w:szCs w:val="21"/>
        </w:rPr>
        <w:t>错在“消除”，市场缺陷不能消除，只能克服。</w:t>
      </w:r>
    </w:p>
    <w:p>
      <w:pPr>
        <w:spacing w:line="300" w:lineRule="exact"/>
        <w:jc w:val="left"/>
        <w:rPr>
          <w:rFonts w:ascii="宋体" w:eastAsia="宋体" w:hAnsi="宋体" w:hint="eastAsia"/>
          <w:szCs w:val="21"/>
        </w:rPr>
      </w:pPr>
      <w:r>
        <w:rPr>
          <w:rFonts w:ascii="宋体" w:eastAsia="宋体" w:hAnsi="宋体" w:hint="eastAsia"/>
          <w:szCs w:val="21"/>
        </w:rPr>
        <w:t>7.自发性：事后调节，有时间差。盲目性：为了利益，不择手段。滞后性：盲目跟风，一哄而散。</w:t>
      </w:r>
    </w:p>
    <w:p>
      <w:pPr>
        <w:numPr>
          <w:ilvl w:val="0"/>
          <w:numId w:val="1"/>
        </w:numPr>
        <w:spacing w:line="260" w:lineRule="exact"/>
        <w:jc w:val="left"/>
        <w:rPr>
          <w:rFonts w:ascii="楷体" w:cs="楷体" w:eastAsia="楷体" w:hAnsi="楷体" w:hint="eastAsia"/>
          <w:szCs w:val="21"/>
        </w:rPr>
      </w:pPr>
      <w:r>
        <w:rPr>
          <w:rFonts w:ascii="楷体" w:cs="楷体" w:eastAsia="楷体" w:hAnsi="楷体" w:hint="eastAsia"/>
          <w:szCs w:val="21"/>
        </w:rPr>
        <w:t>自发性：为了利益，不择手段。盲目性：盲目跟风，一哄而散。滞后性：事后调节，有时间差。</w:t>
      </w:r>
    </w:p>
    <w:p>
      <w:pPr>
        <w:spacing w:line="300" w:lineRule="exact"/>
        <w:jc w:val="left"/>
        <w:rPr>
          <w:rFonts w:ascii="Times New Roman" w:cs="Times New Roman" w:hAnsi="Times New Roman"/>
          <w:color w:themeColor="text1" w:val="000000"/>
          <w:szCs w:val="21"/>
          <w14:textFill>
            <w14:solidFill>
              <w14:schemeClr w14:val="tx1"/>
            </w14:solidFill>
          </w14:textFill>
        </w:rPr>
      </w:pPr>
      <w:r>
        <w:rPr>
          <w:rFonts w:ascii="Times New Roman" w:cs="Times New Roman" w:hAnsi="Times New Roman" w:hint="eastAsia"/>
          <w:color w:themeColor="text1" w:val="000000"/>
          <w:szCs w:val="21"/>
          <w14:textFill>
            <w14:solidFill>
              <w14:schemeClr w14:val="tx1"/>
            </w14:solidFill>
          </w14:textFill>
        </w:rPr>
        <w:t>8</w:t>
      </w:r>
      <w:r>
        <w:rPr>
          <w:rFonts w:ascii="Times New Roman" w:cs="Times New Roman" w:hAnsi="Times New Roman"/>
          <w:color w:themeColor="text1" w:val="000000"/>
          <w:szCs w:val="21"/>
          <w14:textFill>
            <w14:solidFill>
              <w14:schemeClr w14:val="tx1"/>
            </w14:solidFill>
          </w14:textFill>
        </w:rPr>
        <w:t>.政府有效治理对经济发展起决定作用。</w:t>
      </w:r>
    </w:p>
    <w:p>
      <w:pPr>
        <w:numPr>
          <w:ilvl w:val="0"/>
          <w:numId w:val="1"/>
        </w:numPr>
        <w:spacing w:line="260" w:lineRule="exact"/>
        <w:jc w:val="left"/>
        <w:rPr>
          <w:rFonts w:ascii="楷体" w:cs="楷体" w:eastAsia="楷体" w:hAnsi="楷体" w:hint="eastAsia"/>
          <w:szCs w:val="21"/>
        </w:rPr>
      </w:pPr>
      <w:r>
        <w:rPr>
          <w:rFonts w:ascii="楷体" w:cs="楷体" w:eastAsia="楷体" w:hAnsi="楷体" w:hint="eastAsia"/>
          <w:szCs w:val="21"/>
        </w:rPr>
        <w:t>政府有效治理对经济发展起宏观调控作用。</w:t>
      </w:r>
    </w:p>
    <w:p>
      <w:pPr>
        <w:spacing w:line="300" w:lineRule="exact"/>
        <w:jc w:val="left"/>
        <w:rPr>
          <w:rFonts w:ascii="Times New Roman" w:cs="Times New Roman" w:hAnsi="Times New Roman"/>
          <w:color w:themeColor="text1" w:val="000000"/>
          <w:szCs w:val="21"/>
          <w14:textFill>
            <w14:solidFill>
              <w14:schemeClr w14:val="tx1"/>
            </w14:solidFill>
          </w14:textFill>
        </w:rPr>
      </w:pPr>
      <w:r>
        <w:rPr>
          <w:rFonts w:ascii="Times New Roman" w:cs="Times New Roman" w:hAnsi="Times New Roman" w:hint="eastAsia"/>
          <w:color w:themeColor="text1" w:val="000000"/>
          <w:szCs w:val="21"/>
          <w14:textFill>
            <w14:solidFill>
              <w14:schemeClr w14:val="tx1"/>
            </w14:solidFill>
          </w14:textFill>
        </w:rPr>
        <w:t>9</w:t>
      </w:r>
      <w:r>
        <w:rPr>
          <w:rFonts w:ascii="Times New Roman" w:cs="Times New Roman" w:hAnsi="Times New Roman"/>
          <w:color w:themeColor="text1" w:val="000000"/>
          <w:szCs w:val="21"/>
          <w14:textFill>
            <w14:solidFill>
              <w14:schemeClr w14:val="tx1"/>
            </w14:solidFill>
          </w14:textFill>
        </w:rPr>
        <w:t>.公平开放透明的市场规则，是使市场在资源配置中起决定性作用的基础。</w:t>
      </w:r>
    </w:p>
    <w:p>
      <w:pPr>
        <w:numPr>
          <w:ilvl w:val="0"/>
          <w:numId w:val="1"/>
        </w:numPr>
        <w:spacing w:line="260" w:lineRule="exact"/>
        <w:jc w:val="left"/>
        <w:rPr>
          <w:rFonts w:ascii="楷体" w:cs="楷体" w:eastAsia="楷体" w:hAnsi="楷体" w:hint="eastAsia"/>
          <w:szCs w:val="21"/>
        </w:rPr>
      </w:pPr>
      <w:r>
        <w:rPr>
          <w:rFonts w:ascii="楷体" w:cs="楷体" w:eastAsia="楷体" w:hAnsi="楷体" w:hint="eastAsia"/>
          <w:szCs w:val="21"/>
        </w:rPr>
        <w:t>统一开放、竞争有序的市场体系，是使市场在资源配置中起决定性作用的基础。</w:t>
      </w:r>
    </w:p>
    <w:p>
      <w:pPr>
        <w:spacing w:line="300" w:lineRule="exact"/>
        <w:jc w:val="left"/>
        <w:rPr>
          <w:rFonts w:ascii="Times New Roman" w:cs="Times New Roman" w:hAnsi="Times New Roman"/>
          <w:color w:themeColor="text1" w:val="000000"/>
          <w:sz w:val="20"/>
          <w:szCs w:val="20"/>
          <w14:textFill>
            <w14:solidFill>
              <w14:schemeClr w14:val="tx1"/>
            </w14:solidFill>
          </w14:textFill>
        </w:rPr>
      </w:pPr>
      <w:r>
        <w:rPr>
          <w:rFonts w:ascii="Times New Roman" w:cs="Times New Roman" w:hAnsi="Times New Roman" w:hint="eastAsia"/>
          <w:color w:themeColor="text1" w:val="000000"/>
          <w:sz w:val="20"/>
          <w:szCs w:val="20"/>
          <w14:textFill>
            <w14:solidFill>
              <w14:schemeClr w14:val="tx1"/>
            </w14:solidFill>
          </w14:textFill>
        </w:rPr>
        <w:t>10</w:t>
      </w:r>
      <w:r>
        <w:rPr>
          <w:rFonts w:ascii="Times New Roman" w:cs="Times New Roman" w:hAnsi="Times New Roman"/>
          <w:color w:themeColor="text1" w:val="000000"/>
          <w:sz w:val="20"/>
          <w:szCs w:val="20"/>
          <w14:textFill>
            <w14:solidFill>
              <w14:schemeClr w14:val="tx1"/>
            </w14:solidFill>
          </w14:textFill>
        </w:rPr>
        <w:t>.建设现代市场体系要完善主要由政府决定价格的机制。</w:t>
      </w:r>
    </w:p>
    <w:p>
      <w:pPr>
        <w:numPr>
          <w:ilvl w:val="0"/>
          <w:numId w:val="3"/>
        </w:numPr>
        <w:spacing w:line="300" w:lineRule="exact"/>
        <w:jc w:val="left"/>
        <w:rPr>
          <w:rFonts w:ascii="Times New Roman" w:cs="Times New Roman" w:eastAsia="楷体" w:hAnsi="Times New Roman"/>
          <w:color w:themeColor="text1" w:val="000000"/>
          <w:sz w:val="18"/>
          <w:szCs w:val="18"/>
          <w14:textFill>
            <w14:solidFill>
              <w14:schemeClr w14:val="tx1"/>
            </w14:solidFill>
          </w14:textFill>
        </w:rPr>
      </w:pPr>
      <w:r>
        <w:rPr>
          <w:rFonts w:ascii="Times New Roman" w:cs="Times New Roman" w:eastAsia="楷体" w:hAnsi="Times New Roman"/>
          <w:color w:themeColor="text1" w:val="000000"/>
          <w:sz w:val="20"/>
          <w:szCs w:val="20"/>
          <w14:textFill>
            <w14:solidFill>
              <w14:schemeClr w14:val="tx1"/>
            </w14:solidFill>
          </w14:textFill>
        </w:rPr>
        <w:t>建设现代市场体系要完善主要由市场决定价格的机制</w:t>
      </w:r>
      <w:r>
        <w:rPr>
          <w:rFonts w:ascii="Times New Roman" w:cs="Times New Roman" w:eastAsia="楷体" w:hAnsi="Times New Roman" w:hint="eastAsia"/>
          <w:color w:themeColor="text1" w:val="000000"/>
          <w:sz w:val="20"/>
          <w:szCs w:val="20"/>
          <w14:textFill>
            <w14:solidFill>
              <w14:schemeClr w14:val="tx1"/>
            </w14:solidFill>
          </w14:textFill>
        </w:rPr>
        <w:t>。</w:t>
      </w:r>
      <w:r>
        <w:rPr>
          <w:rFonts w:ascii="Times New Roman" w:cs="Times New Roman" w:eastAsia="楷体" w:hAnsi="Times New Roman" w:hint="eastAsia"/>
          <w:color w:themeColor="text1" w:val="000000"/>
          <w:sz w:val="18"/>
          <w:szCs w:val="18"/>
          <w14:textFill>
            <w14:solidFill>
              <w14:schemeClr w14:val="tx1"/>
            </w14:solidFill>
          </w14:textFill>
        </w:rPr>
        <w:t>凡是能由市场形成价格的都交给市场，政府不进行不当干预。</w:t>
      </w:r>
    </w:p>
    <w:p>
      <w:pPr>
        <w:spacing w:line="300" w:lineRule="exact"/>
        <w:jc w:val="left"/>
        <w:rPr>
          <w:rFonts w:ascii="Times New Roman" w:cs="Times New Roman" w:hAnsi="Times New Roman"/>
          <w:color w:themeColor="text1" w:val="000000"/>
          <w:szCs w:val="21"/>
          <w14:textFill>
            <w14:solidFill>
              <w14:schemeClr w14:val="tx1"/>
            </w14:solidFill>
          </w14:textFill>
        </w:rPr>
      </w:pPr>
      <w:r>
        <w:rPr>
          <w:rFonts w:ascii="Times New Roman" w:cs="Times New Roman" w:hAnsi="Times New Roman" w:hint="eastAsia"/>
          <w:color w:themeColor="text1" w:val="000000"/>
          <w:szCs w:val="21"/>
          <w14:textFill>
            <w14:solidFill>
              <w14:schemeClr w14:val="tx1"/>
            </w14:solidFill>
          </w14:textFill>
        </w:rPr>
        <w:t>11</w:t>
      </w:r>
      <w:r>
        <w:rPr>
          <w:rFonts w:ascii="Times New Roman" w:cs="Times New Roman" w:hAnsi="Times New Roman"/>
          <w:color w:themeColor="text1" w:val="000000"/>
          <w:szCs w:val="21"/>
          <w14:textFill>
            <w14:solidFill>
              <w14:schemeClr w14:val="tx1"/>
            </w14:solidFill>
          </w14:textFill>
        </w:rPr>
        <w:t>.国防、治安、消防等公共物品的供给可以完全由市场来调节。</w:t>
      </w:r>
    </w:p>
    <w:p>
      <w:pPr>
        <w:numPr>
          <w:ilvl w:val="0"/>
          <w:numId w:val="1"/>
        </w:numPr>
        <w:spacing w:line="260" w:lineRule="exact"/>
        <w:jc w:val="left"/>
        <w:rPr>
          <w:rFonts w:ascii="楷体" w:cs="楷体" w:eastAsia="楷体" w:hAnsi="楷体" w:hint="eastAsia"/>
          <w:szCs w:val="21"/>
        </w:rPr>
      </w:pPr>
      <w:r>
        <w:rPr>
          <w:rFonts w:ascii="楷体" w:cs="楷体" w:eastAsia="楷体" w:hAnsi="楷体" w:hint="eastAsia"/>
          <w:szCs w:val="21"/>
        </w:rPr>
        <w:t>国防、治安、消防等公共物品的供给不能由市场来调节。</w:t>
      </w:r>
    </w:p>
    <w:p>
      <w:pPr>
        <w:spacing w:line="300" w:lineRule="exact"/>
        <w:jc w:val="left"/>
        <w:rPr>
          <w:rFonts w:ascii="Times New Roman" w:cs="Times New Roman" w:hAnsi="Times New Roman"/>
          <w:color w:themeColor="text1" w:val="000000"/>
          <w:szCs w:val="21"/>
          <w14:textFill>
            <w14:solidFill>
              <w14:schemeClr w14:val="tx1"/>
            </w14:solidFill>
          </w14:textFill>
        </w:rPr>
      </w:pPr>
      <w:r>
        <w:rPr>
          <w:rFonts w:ascii="Times New Roman" w:cs="Times New Roman" w:hAnsi="Times New Roman" w:hint="eastAsia"/>
          <w:color w:themeColor="text1" w:val="000000"/>
          <w:szCs w:val="21"/>
          <w14:textFill>
            <w14:solidFill>
              <w14:schemeClr w14:val="tx1"/>
            </w14:solidFill>
          </w14:textFill>
        </w:rPr>
        <w:t>12</w:t>
      </w:r>
      <w:r>
        <w:rPr>
          <w:rFonts w:ascii="Times New Roman" w:cs="Times New Roman" w:hAnsi="Times New Roman"/>
          <w:color w:themeColor="text1" w:val="000000"/>
          <w:szCs w:val="21"/>
          <w14:textFill>
            <w14:solidFill>
              <w14:schemeClr w14:val="tx1"/>
            </w14:solidFill>
          </w14:textFill>
        </w:rPr>
        <w:t>.坚持党的领导，发挥党总览全局、协调各方的领导核心作用，是社会主义市场经济的根基。</w:t>
      </w:r>
    </w:p>
    <w:p>
      <w:pPr>
        <w:numPr>
          <w:ilvl w:val="0"/>
          <w:numId w:val="1"/>
        </w:numPr>
        <w:spacing w:line="260" w:lineRule="exact"/>
        <w:jc w:val="left"/>
        <w:rPr>
          <w:rFonts w:ascii="楷体" w:cs="楷体" w:eastAsia="楷体" w:hAnsi="楷体" w:hint="eastAsia"/>
          <w:szCs w:val="21"/>
        </w:rPr>
      </w:pPr>
      <w:r>
        <w:rPr>
          <w:rFonts w:ascii="楷体" w:cs="楷体" w:eastAsia="楷体" w:hAnsi="楷体" w:hint="eastAsia"/>
          <w:szCs w:val="21"/>
        </w:rPr>
        <w:t>公有制为主体、多种所有制经济共同发展是社会主义市场经济的根基。或坚持党的领导，发挥党总览全局、协调各方的领导核心作用，是我国社会主义市场经济体制的一个重要特征。</w:t>
      </w:r>
    </w:p>
    <w:p>
      <w:pPr>
        <w:spacing w:line="300" w:lineRule="exact"/>
        <w:jc w:val="left"/>
        <w:rPr>
          <w:rFonts w:ascii="Times New Roman" w:cs="Times New Roman" w:hAnsi="Times New Roman"/>
          <w:color w:themeColor="text1" w:val="000000"/>
          <w:szCs w:val="21"/>
          <w14:textFill>
            <w14:solidFill>
              <w14:schemeClr w14:val="tx1"/>
            </w14:solidFill>
          </w14:textFill>
        </w:rPr>
      </w:pPr>
      <w:r>
        <w:rPr>
          <w:rFonts w:ascii="Times New Roman" w:cs="Times New Roman" w:hAnsi="Times New Roman" w:hint="eastAsia"/>
          <w:color w:themeColor="text1" w:val="000000"/>
          <w:szCs w:val="21"/>
          <w14:textFill>
            <w14:solidFill>
              <w14:schemeClr w14:val="tx1"/>
            </w14:solidFill>
          </w14:textFill>
        </w:rPr>
        <w:t>13</w:t>
      </w:r>
      <w:r>
        <w:rPr>
          <w:rFonts w:ascii="Times New Roman" w:cs="Times New Roman" w:hAnsi="Times New Roman"/>
          <w:color w:themeColor="text1" w:val="000000"/>
          <w:szCs w:val="21"/>
          <w14:textFill>
            <w14:solidFill>
              <w14:schemeClr w14:val="tx1"/>
            </w14:solidFill>
          </w14:textFill>
        </w:rPr>
        <w:t>.促进全体人民实现共同富裕是社会主义市场经济体制优势的内在要求。</w:t>
      </w:r>
    </w:p>
    <w:p>
      <w:pPr>
        <w:numPr>
          <w:ilvl w:val="0"/>
          <w:numId w:val="1"/>
        </w:numPr>
        <w:spacing w:line="260" w:lineRule="exact"/>
        <w:jc w:val="left"/>
        <w:rPr>
          <w:rFonts w:ascii="楷体" w:cs="楷体" w:eastAsia="楷体" w:hAnsi="楷体" w:hint="eastAsia"/>
          <w:szCs w:val="21"/>
        </w:rPr>
      </w:pPr>
      <w:r>
        <w:rPr>
          <w:rFonts w:ascii="楷体" w:cs="楷体" w:eastAsia="楷体" w:hAnsi="楷体" w:hint="eastAsia"/>
          <w:szCs w:val="21"/>
        </w:rPr>
        <w:t>促进全体人民实现共同富裕是社会主义市场经济体制的根本目标。科学的宏观调控、有效的政府治理，是社会主义市场经济体制优势的内在要求。</w:t>
      </w:r>
    </w:p>
    <w:p>
      <w:pPr>
        <w:spacing w:line="300" w:lineRule="exact"/>
        <w:jc w:val="left"/>
        <w:rPr>
          <w:rFonts w:ascii="Times New Roman" w:cs="Times New Roman" w:hAnsi="Times New Roman"/>
          <w:color w:themeColor="text1" w:val="000000"/>
          <w:szCs w:val="21"/>
          <w14:textFill>
            <w14:solidFill>
              <w14:schemeClr w14:val="tx1"/>
            </w14:solidFill>
          </w14:textFill>
        </w:rPr>
      </w:pPr>
      <w:r>
        <w:rPr>
          <w:rFonts w:ascii="Times New Roman" w:cs="Times New Roman" w:hAnsi="Times New Roman" w:hint="eastAsia"/>
          <w:color w:themeColor="text1" w:val="000000"/>
          <w:szCs w:val="21"/>
          <w14:textFill>
            <w14:solidFill>
              <w14:schemeClr w14:val="tx1"/>
            </w14:solidFill>
          </w14:textFill>
        </w:rPr>
        <w:t>14</w:t>
      </w:r>
      <w:r>
        <w:rPr>
          <w:rFonts w:ascii="Times New Roman" w:cs="Times New Roman" w:hAnsi="Times New Roman"/>
          <w:color w:themeColor="text1" w:val="000000"/>
          <w:szCs w:val="21"/>
          <w14:textFill>
            <w14:solidFill>
              <w14:schemeClr w14:val="tx1"/>
            </w14:solidFill>
          </w14:textFill>
        </w:rPr>
        <w:t>.降低银行存款准备金率和降低银行存贷款基准利率属于积极的财政政策。</w:t>
      </w:r>
    </w:p>
    <w:p>
      <w:pPr>
        <w:numPr>
          <w:ilvl w:val="0"/>
          <w:numId w:val="1"/>
        </w:numPr>
        <w:spacing w:line="260" w:lineRule="exact"/>
        <w:jc w:val="left"/>
        <w:rPr>
          <w:rFonts w:ascii="楷体" w:cs="楷体" w:eastAsia="楷体" w:hAnsi="楷体" w:hint="eastAsia"/>
          <w:szCs w:val="21"/>
        </w:rPr>
      </w:pPr>
      <w:r>
        <w:rPr>
          <w:rFonts w:ascii="楷体" w:cs="楷体" w:eastAsia="楷体" w:hAnsi="楷体" w:hint="eastAsia"/>
          <w:szCs w:val="21"/>
        </w:rPr>
        <w:t>降低银行存款准备金率和降低银行存贷款基准利率属于积极的货币政策。</w:t>
      </w:r>
    </w:p>
    <w:p>
      <w:pPr>
        <w:spacing w:before="100" w:line="300" w:lineRule="exact"/>
        <w:jc w:val="left"/>
        <w:rPr>
          <w:rStyle w:val="Strong"/>
          <w:rFonts w:ascii="黑体" w:cs="黑体" w:eastAsia="黑体" w:hAnsi="黑体" w:hint="eastAsia"/>
          <w:color w:themeColor="text1" w:val="000000"/>
          <w:spacing w:val="8"/>
          <w:kern w:val="0"/>
          <w:sz w:val="22"/>
          <w14:textFill>
            <w14:solidFill>
              <w14:schemeClr w14:val="tx1"/>
            </w14:solidFill>
          </w14:textFill>
        </w:rPr>
      </w:pPr>
    </w:p>
    <w:p>
      <w:pPr>
        <w:spacing w:before="100" w:line="300" w:lineRule="exact"/>
        <w:jc w:val="center"/>
        <w:rPr>
          <w:rStyle w:val="Strong"/>
          <w:rFonts w:ascii="黑体" w:cs="黑体" w:eastAsia="黑体" w:hAnsi="黑体" w:hint="eastAsia"/>
          <w:color w:themeColor="text1" w:val="000000"/>
          <w:spacing w:val="8"/>
          <w:kern w:val="0"/>
          <w:sz w:val="22"/>
          <w14:textFill>
            <w14:solidFill>
              <w14:schemeClr w14:val="tx1"/>
            </w14:solidFill>
          </w14:textFill>
        </w:rPr>
      </w:pPr>
      <w:r>
        <w:rPr>
          <w:rStyle w:val="Strong"/>
          <w:rFonts w:ascii="黑体" w:cs="黑体" w:eastAsia="黑体" w:hAnsi="黑体" w:hint="eastAsia"/>
          <w:color w:themeColor="text1" w:val="000000"/>
          <w:spacing w:val="8"/>
          <w:kern w:val="0"/>
          <w:sz w:val="22"/>
          <w14:textFill>
            <w14:solidFill>
              <w14:schemeClr w14:val="tx1"/>
            </w14:solidFill>
          </w14:textFill>
        </w:rPr>
        <w:t>第三课 我国的经济发展</w:t>
      </w:r>
    </w:p>
    <w:p>
      <w:pPr>
        <w:spacing w:line="300" w:lineRule="exact"/>
        <w:jc w:val="left"/>
        <w:rPr>
          <w:rFonts w:ascii="宋体" w:eastAsia="宋体" w:hAnsi="宋体" w:hint="eastAsia"/>
          <w:sz w:val="20"/>
          <w:szCs w:val="20"/>
        </w:rPr>
      </w:pPr>
      <w:r>
        <w:rPr>
          <w:rFonts w:ascii="宋体" w:eastAsia="宋体" w:hAnsi="宋体" w:hint="eastAsia"/>
          <w:sz w:val="20"/>
          <w:szCs w:val="20"/>
        </w:rPr>
        <w:t>1.</w:t>
      </w:r>
      <w:r>
        <w:rPr>
          <w:rFonts w:ascii="宋体" w:eastAsia="宋体" w:hAnsi="宋体"/>
          <w:sz w:val="20"/>
          <w:szCs w:val="20"/>
        </w:rPr>
        <w:t>新发展理念中的共享发展注重的是解决发展不平衡问题。</w:t>
      </w:r>
    </w:p>
    <w:p>
      <w:pPr>
        <w:numPr>
          <w:ilvl w:val="0"/>
          <w:numId w:val="1"/>
        </w:numPr>
        <w:spacing w:line="260" w:lineRule="exact"/>
        <w:jc w:val="left"/>
        <w:rPr>
          <w:rFonts w:ascii="楷体" w:cs="楷体" w:eastAsia="楷体" w:hAnsi="楷体" w:hint="eastAsia"/>
          <w:szCs w:val="21"/>
        </w:rPr>
      </w:pPr>
      <w:r>
        <w:rPr>
          <w:rFonts w:ascii="楷体" w:cs="楷体" w:eastAsia="楷体" w:hAnsi="楷体" w:hint="eastAsia"/>
          <w:szCs w:val="21"/>
        </w:rPr>
        <w:t>新发展理念中的共享发展注重的是解决社会公平正义问题，协调发展注重的是解决发展不平衡问题。</w:t>
      </w:r>
    </w:p>
    <w:p>
      <w:pPr>
        <w:spacing w:line="300" w:lineRule="exact"/>
        <w:jc w:val="left"/>
        <w:rPr>
          <w:rFonts w:ascii="Times New Roman" w:cs="Times New Roman" w:hAnsi="Times New Roman"/>
          <w:color w:themeColor="text1" w:val="000000"/>
          <w:szCs w:val="21"/>
          <w14:textFill>
            <w14:solidFill>
              <w14:schemeClr w14:val="tx1"/>
            </w14:solidFill>
          </w14:textFill>
        </w:rPr>
      </w:pPr>
      <w:r>
        <w:rPr>
          <w:rFonts w:ascii="宋体" w:eastAsia="宋体" w:hAnsi="宋体" w:hint="eastAsia"/>
          <w:szCs w:val="21"/>
        </w:rPr>
        <w:t>2.</w:t>
      </w:r>
      <w:r>
        <w:rPr>
          <w:rFonts w:ascii="Times New Roman" w:cs="Times New Roman" w:hAnsi="Times New Roman"/>
          <w:color w:themeColor="text1" w:val="000000"/>
          <w:szCs w:val="21"/>
          <w14:textFill>
            <w14:solidFill>
              <w14:schemeClr w14:val="tx1"/>
            </w14:solidFill>
          </w14:textFill>
        </w:rPr>
        <w:t>创新发展注重解决的是发展不平衡问题。</w:t>
      </w:r>
    </w:p>
    <w:p>
      <w:pPr>
        <w:numPr>
          <w:ilvl w:val="0"/>
          <w:numId w:val="1"/>
        </w:numPr>
        <w:spacing w:line="260" w:lineRule="exact"/>
        <w:jc w:val="left"/>
        <w:rPr>
          <w:rFonts w:ascii="楷体" w:cs="楷体" w:eastAsia="楷体" w:hAnsi="楷体" w:hint="eastAsia"/>
          <w:szCs w:val="21"/>
        </w:rPr>
      </w:pPr>
      <w:r>
        <w:rPr>
          <w:rFonts w:ascii="楷体" w:cs="楷体" w:eastAsia="楷体" w:hAnsi="楷体" w:hint="eastAsia"/>
          <w:szCs w:val="21"/>
        </w:rPr>
        <w:t>创新发展注重的是解决发展动力问题。协调发展注重的是解决发展不平衡问题。</w:t>
      </w:r>
    </w:p>
    <w:p>
      <w:pPr>
        <w:spacing w:line="300" w:lineRule="exact"/>
        <w:jc w:val="left"/>
        <w:rPr>
          <w:rFonts w:ascii="宋体" w:eastAsia="宋体" w:hAnsi="宋体" w:hint="eastAsia"/>
          <w:szCs w:val="21"/>
        </w:rPr>
      </w:pPr>
      <w:r>
        <w:rPr>
          <w:rFonts w:ascii="宋体" w:eastAsia="宋体" w:hAnsi="宋体" w:hint="eastAsia"/>
          <w:szCs w:val="21"/>
        </w:rPr>
        <w:t>3.</w:t>
      </w:r>
      <w:r>
        <w:rPr>
          <w:rFonts w:ascii="宋体" w:eastAsia="宋体" w:hAnsi="宋体"/>
          <w:szCs w:val="21"/>
        </w:rPr>
        <w:t>必须充分发挥科技作为引领发展的第一资源的作用。</w:t>
      </w:r>
    </w:p>
    <w:p>
      <w:pPr>
        <w:numPr>
          <w:ilvl w:val="0"/>
          <w:numId w:val="1"/>
        </w:numPr>
        <w:spacing w:line="260" w:lineRule="exact"/>
        <w:jc w:val="left"/>
        <w:rPr>
          <w:rFonts w:ascii="楷体" w:cs="楷体" w:eastAsia="楷体" w:hAnsi="楷体" w:hint="eastAsia"/>
          <w:szCs w:val="21"/>
        </w:rPr>
      </w:pPr>
      <w:r>
        <w:rPr>
          <w:rFonts w:ascii="楷体" w:cs="楷体" w:eastAsia="楷体" w:hAnsi="楷体" w:hint="eastAsia"/>
          <w:szCs w:val="21"/>
        </w:rPr>
        <w:t>科技是第一生产力，人才是第一资源，创新是引领发展的第一动力。</w:t>
      </w:r>
    </w:p>
    <w:p>
      <w:pPr>
        <w:spacing w:line="300" w:lineRule="exact"/>
        <w:jc w:val="left"/>
        <w:rPr>
          <w:rFonts w:ascii="宋体" w:eastAsia="宋体" w:hAnsi="宋体" w:hint="eastAsia"/>
          <w:szCs w:val="21"/>
        </w:rPr>
      </w:pPr>
      <w:r>
        <w:rPr>
          <w:rFonts w:ascii="宋体" w:eastAsia="宋体" w:hAnsi="宋体" w:hint="eastAsia"/>
          <w:szCs w:val="21"/>
        </w:rPr>
        <w:t>4.</w:t>
      </w:r>
      <w:r>
        <w:rPr>
          <w:rFonts w:ascii="宋体" w:eastAsia="宋体" w:hAnsi="宋体"/>
          <w:szCs w:val="21"/>
        </w:rPr>
        <w:t>当前，建设中国式现代化必须推动经济的高速发展。</w:t>
      </w:r>
    </w:p>
    <w:p>
      <w:pPr>
        <w:numPr>
          <w:ilvl w:val="0"/>
          <w:numId w:val="1"/>
        </w:numPr>
        <w:spacing w:line="260" w:lineRule="exact"/>
        <w:jc w:val="left"/>
        <w:rPr>
          <w:rFonts w:ascii="楷体" w:cs="楷体" w:eastAsia="楷体" w:hAnsi="楷体" w:hint="eastAsia"/>
          <w:szCs w:val="21"/>
        </w:rPr>
      </w:pPr>
      <w:r>
        <w:rPr>
          <w:rFonts w:ascii="楷体" w:cs="楷体" w:eastAsia="楷体" w:hAnsi="楷体" w:hint="eastAsia"/>
          <w:szCs w:val="21"/>
        </w:rPr>
        <w:t>我国经济已由高速增长阶段转向高质量发展阶段，应该是推动经济高质量发展。</w:t>
      </w:r>
    </w:p>
    <w:p>
      <w:pPr>
        <w:spacing w:line="300" w:lineRule="exact"/>
        <w:jc w:val="left"/>
        <w:rPr>
          <w:rFonts w:ascii="宋体" w:eastAsia="宋体" w:hAnsi="宋体" w:hint="eastAsia"/>
          <w:szCs w:val="21"/>
        </w:rPr>
      </w:pPr>
      <w:r>
        <w:rPr>
          <w:rFonts w:ascii="宋体" w:eastAsia="宋体" w:hAnsi="宋体" w:hint="eastAsia"/>
          <w:szCs w:val="21"/>
        </w:rPr>
        <w:t>5.</w:t>
      </w:r>
      <w:r>
        <w:rPr>
          <w:rFonts w:ascii="宋体" w:eastAsia="宋体" w:hAnsi="宋体"/>
          <w:szCs w:val="21"/>
        </w:rPr>
        <w:t>要发挥新兴产业在我国经济发展中的立身之本作用。</w:t>
      </w:r>
    </w:p>
    <w:p>
      <w:pPr>
        <w:numPr>
          <w:ilvl w:val="0"/>
          <w:numId w:val="1"/>
        </w:numPr>
        <w:spacing w:line="260" w:lineRule="exact"/>
        <w:jc w:val="left"/>
        <w:rPr>
          <w:rFonts w:ascii="楷体" w:cs="楷体" w:eastAsia="楷体" w:hAnsi="楷体" w:hint="eastAsia"/>
          <w:szCs w:val="21"/>
        </w:rPr>
      </w:pPr>
      <w:r>
        <w:rPr>
          <w:rFonts w:ascii="楷体" w:cs="楷体" w:eastAsia="楷体" w:hAnsi="楷体" w:hint="eastAsia"/>
          <w:szCs w:val="21"/>
        </w:rPr>
        <w:t>新兴产业在我国经济发展中起着重要作用，但不是立身之本；实体经济是一国经济的立身之本。</w:t>
      </w:r>
    </w:p>
    <w:p>
      <w:pPr>
        <w:spacing w:line="300" w:lineRule="exact"/>
        <w:jc w:val="left"/>
        <w:rPr>
          <w:rFonts w:ascii="Times New Roman" w:cs="Times New Roman" w:hAnsi="Times New Roman"/>
          <w:color w:themeColor="text1" w:val="000000"/>
          <w:szCs w:val="21"/>
          <w14:textFill>
            <w14:solidFill>
              <w14:schemeClr w14:val="tx1"/>
            </w14:solidFill>
          </w14:textFill>
        </w:rPr>
      </w:pPr>
      <w:r>
        <w:rPr>
          <w:rFonts w:ascii="Times New Roman" w:cs="Times New Roman" w:hAnsi="Times New Roman" w:hint="eastAsia"/>
          <w:color w:themeColor="text1" w:val="000000"/>
          <w:szCs w:val="21"/>
          <w14:textFill>
            <w14:solidFill>
              <w14:schemeClr w14:val="tx1"/>
            </w14:solidFill>
          </w14:textFill>
        </w:rPr>
        <w:t>6</w:t>
      </w:r>
      <w:r>
        <w:rPr>
          <w:rFonts w:ascii="Times New Roman" w:cs="Times New Roman" w:hAnsi="Times New Roman"/>
          <w:color w:themeColor="text1" w:val="000000"/>
          <w:szCs w:val="21"/>
          <w14:textFill>
            <w14:solidFill>
              <w14:schemeClr w14:val="tx1"/>
            </w14:solidFill>
          </w14:textFill>
        </w:rPr>
        <w:t>.实体经济是关系国计民生的根本性问题。</w:t>
      </w:r>
    </w:p>
    <w:p>
      <w:pPr>
        <w:numPr>
          <w:ilvl w:val="0"/>
          <w:numId w:val="1"/>
        </w:numPr>
        <w:spacing w:line="260" w:lineRule="exact"/>
        <w:jc w:val="left"/>
        <w:rPr>
          <w:rFonts w:ascii="楷体" w:cs="楷体" w:eastAsia="楷体" w:hAnsi="楷体" w:hint="eastAsia"/>
          <w:szCs w:val="21"/>
        </w:rPr>
      </w:pPr>
      <w:r>
        <w:rPr>
          <w:rFonts w:ascii="楷体" w:cs="楷体" w:eastAsia="楷体" w:hAnsi="楷体" w:hint="eastAsia"/>
          <w:szCs w:val="21"/>
        </w:rPr>
        <w:t xml:space="preserve">三农问题是关系国计民生的根本性问题。 </w:t>
      </w:r>
    </w:p>
    <w:p>
      <w:pPr>
        <w:spacing w:line="300" w:lineRule="exact"/>
        <w:jc w:val="left"/>
        <w:rPr>
          <w:rFonts w:ascii="Times New Roman" w:cs="Times New Roman" w:hAnsi="Times New Roman"/>
          <w:color w:themeColor="text1" w:val="000000"/>
          <w:szCs w:val="21"/>
          <w14:textFill>
            <w14:solidFill>
              <w14:schemeClr w14:val="tx1"/>
            </w14:solidFill>
          </w14:textFill>
        </w:rPr>
      </w:pPr>
      <w:r>
        <w:rPr>
          <w:rFonts w:ascii="Times New Roman" w:cs="Times New Roman" w:hAnsi="Times New Roman" w:hint="eastAsia"/>
          <w:color w:themeColor="text1" w:val="000000"/>
          <w:szCs w:val="21"/>
          <w14:textFill>
            <w14:solidFill>
              <w14:schemeClr w14:val="tx1"/>
            </w14:solidFill>
          </w14:textFill>
        </w:rPr>
        <w:t>7</w:t>
      </w:r>
      <w:r>
        <w:rPr>
          <w:rFonts w:ascii="Times New Roman" w:cs="Times New Roman" w:hAnsi="Times New Roman"/>
          <w:color w:themeColor="text1" w:val="000000"/>
          <w:szCs w:val="21"/>
          <w14:textFill>
            <w14:solidFill>
              <w14:schemeClr w14:val="tx1"/>
            </w14:solidFill>
          </w14:textFill>
        </w:rPr>
        <w:t>.解决好“三农”问题，需要深化农村“三权分置”改革，巩固农民的土地所有权。</w:t>
      </w:r>
    </w:p>
    <w:p>
      <w:pPr>
        <w:numPr>
          <w:ilvl w:val="0"/>
          <w:numId w:val="1"/>
        </w:numPr>
        <w:spacing w:line="260" w:lineRule="exact"/>
        <w:jc w:val="left"/>
        <w:rPr>
          <w:rFonts w:ascii="楷体" w:cs="楷体" w:eastAsia="楷体" w:hAnsi="楷体" w:hint="eastAsia"/>
          <w:szCs w:val="21"/>
          <w:highlight w:val="none"/>
        </w:rPr>
      </w:pPr>
      <w:r>
        <w:rPr>
          <w:rFonts w:ascii="楷体" w:cs="楷体" w:eastAsia="楷体" w:hAnsi="楷体" w:hint="eastAsia"/>
          <w:szCs w:val="21"/>
          <w:highlight w:val="none"/>
        </w:rPr>
        <w:t>农村土地属于集体，农村对土地没有所用权，有使用权。</w:t>
      </w:r>
      <w:bookmarkStart w:id="0" w:name="_GoBack"/>
      <w:bookmarkEnd w:id="0"/>
    </w:p>
    <w:p>
      <w:pPr>
        <w:spacing w:line="300" w:lineRule="exact"/>
        <w:jc w:val="left"/>
        <w:rPr>
          <w:rFonts w:ascii="Times New Roman" w:cs="Times New Roman" w:hAnsi="Times New Roman"/>
          <w:color w:themeColor="text1" w:val="000000"/>
          <w:szCs w:val="21"/>
          <w14:textFill>
            <w14:solidFill>
              <w14:schemeClr w14:val="tx1"/>
            </w14:solidFill>
          </w14:textFill>
        </w:rPr>
      </w:pPr>
      <w:r>
        <w:rPr>
          <w:rFonts w:ascii="Times New Roman" w:cs="Times New Roman" w:hAnsi="Times New Roman" w:hint="eastAsia"/>
          <w:color w:themeColor="text1" w:val="000000"/>
          <w:szCs w:val="21"/>
          <w14:textFill>
            <w14:solidFill>
              <w14:schemeClr w14:val="tx1"/>
            </w14:solidFill>
          </w14:textFill>
        </w:rPr>
        <w:t>8</w:t>
      </w:r>
      <w:r>
        <w:rPr>
          <w:rFonts w:ascii="Times New Roman" w:cs="Times New Roman" w:hAnsi="Times New Roman"/>
          <w:color w:themeColor="text1" w:val="000000"/>
          <w:szCs w:val="21"/>
          <w14:textFill>
            <w14:solidFill>
              <w14:schemeClr w14:val="tx1"/>
            </w14:solidFill>
          </w14:textFill>
        </w:rPr>
        <w:t>.建设现代化经济体系，就要建设效率优先、兼顾公平的收入分配体系。</w:t>
      </w:r>
    </w:p>
    <w:p>
      <w:pPr>
        <w:numPr>
          <w:ilvl w:val="0"/>
          <w:numId w:val="1"/>
        </w:numPr>
        <w:spacing w:line="260" w:lineRule="exact"/>
        <w:jc w:val="left"/>
        <w:rPr>
          <w:rFonts w:ascii="楷体" w:cs="楷体" w:eastAsia="楷体" w:hAnsi="楷体" w:hint="eastAsia"/>
          <w:szCs w:val="21"/>
        </w:rPr>
      </w:pPr>
      <w:r>
        <w:rPr>
          <w:rFonts w:ascii="楷体" w:cs="楷体" w:eastAsia="楷体" w:hAnsi="楷体" w:hint="eastAsia"/>
          <w:szCs w:val="21"/>
        </w:rPr>
        <w:t>建设现代化经济体系，就要建设体现效率、促进公平的收入分配体系。</w:t>
      </w:r>
    </w:p>
    <w:p>
      <w:pPr>
        <w:spacing w:line="300" w:lineRule="exact"/>
        <w:jc w:val="left"/>
        <w:rPr>
          <w:rFonts w:ascii="宋体" w:eastAsia="宋体" w:hAnsi="宋体" w:hint="eastAsia"/>
          <w:szCs w:val="21"/>
        </w:rPr>
      </w:pPr>
      <w:r>
        <w:rPr>
          <w:rFonts w:ascii="宋体" w:eastAsia="宋体" w:hAnsi="宋体" w:hint="eastAsia"/>
          <w:szCs w:val="21"/>
        </w:rPr>
        <w:t>9.</w:t>
      </w:r>
      <w:r>
        <w:rPr>
          <w:rFonts w:ascii="宋体" w:eastAsia="宋体" w:hAnsi="宋体"/>
          <w:szCs w:val="21"/>
        </w:rPr>
        <w:t>坚持经济增长和居民收入增长基本同步、劳动生产率提高和劳动报酬提高基本同步。</w:t>
      </w:r>
      <w:bookmarkStart w:id="1" w:name="_Hlk171451168"/>
    </w:p>
    <w:bookmarkEnd w:id="1"/>
    <w:p>
      <w:pPr>
        <w:numPr>
          <w:ilvl w:val="0"/>
          <w:numId w:val="1"/>
        </w:numPr>
        <w:spacing w:line="260" w:lineRule="exact"/>
        <w:jc w:val="left"/>
        <w:rPr>
          <w:rFonts w:ascii="楷体" w:cs="楷体" w:eastAsia="楷体" w:hAnsi="楷体" w:hint="eastAsia"/>
          <w:szCs w:val="21"/>
        </w:rPr>
      </w:pPr>
      <w:r>
        <w:rPr>
          <w:rFonts w:ascii="楷体" w:cs="楷体" w:eastAsia="楷体" w:hAnsi="楷体" w:hint="eastAsia"/>
          <w:szCs w:val="21"/>
        </w:rPr>
        <w:t>坚持居民收入增长和经济增长基本同步、劳动报酬提高和劳动生产率提高基本同步。</w:t>
      </w:r>
    </w:p>
    <w:p>
      <w:pPr>
        <w:spacing w:line="300" w:lineRule="exact"/>
        <w:jc w:val="left"/>
        <w:rPr>
          <w:rFonts w:ascii="宋体" w:eastAsia="宋体" w:hAnsi="宋体" w:hint="eastAsia"/>
          <w:szCs w:val="21"/>
        </w:rPr>
      </w:pPr>
      <w:r>
        <w:rPr>
          <w:rFonts w:ascii="宋体" w:eastAsia="宋体" w:hAnsi="宋体" w:hint="eastAsia"/>
          <w:szCs w:val="21"/>
        </w:rPr>
        <w:t>10.</w:t>
      </w:r>
      <w:r>
        <w:rPr>
          <w:rFonts w:ascii="宋体" w:eastAsia="宋体" w:hAnsi="宋体"/>
          <w:szCs w:val="21"/>
        </w:rPr>
        <w:t>要建设资源节约、环境友好的城乡区域发展体系，彰显优势、协调联动的绿色发展体系。</w:t>
      </w:r>
    </w:p>
    <w:p>
      <w:pPr>
        <w:numPr>
          <w:ilvl w:val="0"/>
          <w:numId w:val="1"/>
        </w:numPr>
        <w:spacing w:line="260" w:lineRule="exact"/>
        <w:jc w:val="left"/>
        <w:rPr>
          <w:rFonts w:ascii="楷体" w:cs="楷体" w:eastAsia="楷体" w:hAnsi="楷体" w:hint="eastAsia"/>
          <w:szCs w:val="21"/>
        </w:rPr>
      </w:pPr>
      <w:r>
        <w:rPr>
          <w:rFonts w:ascii="楷体" w:cs="楷体" w:eastAsia="楷体" w:hAnsi="楷体" w:hint="eastAsia"/>
          <w:szCs w:val="21"/>
        </w:rPr>
        <w:t>要建设彰显优势、协调联动的城乡区域发展体系，资源节约、环境友好的绿色发展体系。</w:t>
      </w:r>
    </w:p>
    <w:p>
      <w:pPr>
        <w:spacing w:line="300" w:lineRule="exact"/>
        <w:jc w:val="left"/>
        <w:rPr>
          <w:rFonts w:ascii="宋体" w:eastAsia="宋体" w:hAnsi="宋体" w:hint="eastAsia"/>
          <w:szCs w:val="21"/>
        </w:rPr>
      </w:pPr>
      <w:r>
        <w:rPr>
          <w:rFonts w:ascii="宋体" w:eastAsia="宋体" w:hAnsi="宋体" w:hint="eastAsia"/>
          <w:szCs w:val="21"/>
        </w:rPr>
        <w:t>11.</w:t>
      </w:r>
      <w:r>
        <w:rPr>
          <w:rFonts w:ascii="宋体" w:eastAsia="宋体" w:hAnsi="宋体"/>
          <w:szCs w:val="21"/>
        </w:rPr>
        <w:t>建设新发展格局是全面建设社会主义现代化国家的首要任务。</w:t>
      </w:r>
    </w:p>
    <w:p>
      <w:pPr>
        <w:numPr>
          <w:ilvl w:val="0"/>
          <w:numId w:val="1"/>
        </w:numPr>
        <w:spacing w:line="260" w:lineRule="exact"/>
        <w:jc w:val="left"/>
        <w:rPr>
          <w:rFonts w:ascii="楷体" w:cs="楷体" w:eastAsia="楷体" w:hAnsi="楷体" w:hint="eastAsia"/>
          <w:szCs w:val="21"/>
        </w:rPr>
      </w:pPr>
      <w:r>
        <w:rPr>
          <w:rFonts w:ascii="楷体" w:cs="楷体" w:eastAsia="楷体" w:hAnsi="楷体" w:hint="eastAsia"/>
          <w:szCs w:val="21"/>
        </w:rPr>
        <w:t>高质量发展是全面建设社会主义现代化国家的首要任务。</w:t>
      </w:r>
    </w:p>
    <w:p>
      <w:pPr>
        <w:spacing w:line="300" w:lineRule="exact"/>
        <w:jc w:val="left"/>
        <w:rPr>
          <w:rFonts w:ascii="宋体" w:eastAsia="宋体" w:hAnsi="宋体" w:hint="eastAsia"/>
          <w:szCs w:val="21"/>
        </w:rPr>
      </w:pPr>
      <w:r>
        <w:rPr>
          <w:rFonts w:ascii="宋体" w:eastAsia="宋体" w:hAnsi="宋体" w:hint="eastAsia"/>
          <w:szCs w:val="21"/>
        </w:rPr>
        <w:t>12.</w:t>
      </w:r>
      <w:r>
        <w:rPr>
          <w:rFonts w:ascii="宋体" w:eastAsia="宋体" w:hAnsi="宋体"/>
          <w:szCs w:val="21"/>
        </w:rPr>
        <w:t>高质量发展要求实现量的有效提升和质的合理增长。</w:t>
      </w:r>
    </w:p>
    <w:p>
      <w:pPr>
        <w:numPr>
          <w:ilvl w:val="0"/>
          <w:numId w:val="3"/>
        </w:numPr>
        <w:spacing w:line="300" w:lineRule="exact"/>
        <w:jc w:val="left"/>
        <w:rPr>
          <w:sz w:val="20"/>
          <w:szCs w:val="20"/>
        </w:rPr>
      </w:pPr>
      <w:r>
        <w:rPr>
          <w:rFonts w:ascii="楷体" w:cs="楷体" w:eastAsia="楷体" w:hAnsi="楷体" w:hint="eastAsia"/>
          <w:sz w:val="20"/>
          <w:szCs w:val="20"/>
        </w:rPr>
        <w:t>高质量发展要求实现质的有效提升和量的合理增长。</w:t>
      </w:r>
    </w:p>
    <w:p>
      <w:pPr>
        <w:spacing w:line="300" w:lineRule="exact"/>
        <w:jc w:val="left"/>
        <w:rPr>
          <w:rFonts w:ascii="宋体" w:eastAsia="宋体" w:hAnsi="宋体" w:hint="eastAsia"/>
          <w:szCs w:val="21"/>
        </w:rPr>
      </w:pPr>
      <w:r>
        <w:rPr>
          <w:rFonts w:ascii="宋体" w:eastAsia="宋体" w:hAnsi="宋体" w:hint="eastAsia"/>
          <w:szCs w:val="21"/>
        </w:rPr>
        <w:t>13.</w:t>
      </w:r>
      <w:r>
        <w:rPr>
          <w:rFonts w:ascii="宋体" w:eastAsia="宋体" w:hAnsi="宋体"/>
          <w:szCs w:val="21"/>
        </w:rPr>
        <w:t>恩格尔系数越</w:t>
      </w:r>
      <w:r>
        <w:rPr>
          <w:rFonts w:ascii="宋体" w:eastAsia="宋体" w:hAnsi="宋体" w:hint="eastAsia"/>
          <w:szCs w:val="21"/>
        </w:rPr>
        <w:t>大</w:t>
      </w:r>
      <w:r>
        <w:rPr>
          <w:rFonts w:ascii="宋体" w:eastAsia="宋体" w:hAnsi="宋体"/>
          <w:szCs w:val="21"/>
        </w:rPr>
        <w:t>，一般表明家庭生活水平越高。</w:t>
      </w:r>
    </w:p>
    <w:p>
      <w:pPr>
        <w:numPr>
          <w:ilvl w:val="0"/>
          <w:numId w:val="1"/>
        </w:numPr>
        <w:spacing w:line="260" w:lineRule="exact"/>
        <w:jc w:val="left"/>
        <w:rPr>
          <w:rFonts w:ascii="楷体" w:cs="楷体" w:eastAsia="楷体" w:hAnsi="楷体" w:hint="eastAsia"/>
          <w:szCs w:val="21"/>
        </w:rPr>
      </w:pPr>
      <w:r>
        <w:rPr>
          <w:rFonts w:ascii="楷体" w:cs="楷体" w:eastAsia="楷体" w:hAnsi="楷体" w:hint="eastAsia"/>
          <w:szCs w:val="21"/>
        </w:rPr>
        <w:t>恩格尔系数指食品支出占家庭消费总支出的比例。恩格尔系数越小，一般表明家庭生活水平越高。</w:t>
      </w:r>
    </w:p>
    <w:p>
      <w:pPr>
        <w:spacing w:before="100" w:line="300" w:lineRule="exact"/>
        <w:ind w:firstLine="440" w:firstLineChars="200"/>
        <w:jc w:val="left"/>
        <w:rPr>
          <w:rStyle w:val="Strong"/>
          <w:rFonts w:ascii="黑体" w:cs="黑体" w:eastAsia="黑体" w:hAnsi="黑体" w:hint="eastAsia"/>
          <w:color w:themeColor="text1" w:val="000000"/>
          <w:spacing w:val="8"/>
          <w:kern w:val="0"/>
          <w:sz w:val="22"/>
          <w14:textFill>
            <w14:solidFill>
              <w14:schemeClr w14:val="tx1"/>
            </w14:solidFill>
          </w14:textFill>
        </w:rPr>
      </w:pPr>
    </w:p>
    <w:p>
      <w:pPr>
        <w:spacing w:before="100" w:line="300" w:lineRule="exact"/>
        <w:jc w:val="center"/>
        <w:rPr>
          <w:rStyle w:val="Strong"/>
          <w:rFonts w:ascii="黑体" w:cs="黑体" w:eastAsia="黑体" w:hAnsi="黑体" w:hint="eastAsia"/>
          <w:color w:themeColor="text1" w:val="000000"/>
          <w:spacing w:val="8"/>
          <w:kern w:val="0"/>
          <w:sz w:val="22"/>
          <w14:textFill>
            <w14:solidFill>
              <w14:schemeClr w14:val="tx1"/>
            </w14:solidFill>
          </w14:textFill>
        </w:rPr>
      </w:pPr>
      <w:r>
        <w:rPr>
          <w:rStyle w:val="Strong"/>
          <w:rFonts w:ascii="黑体" w:cs="黑体" w:eastAsia="黑体" w:hAnsi="黑体" w:hint="eastAsia"/>
          <w:color w:themeColor="text1" w:val="000000"/>
          <w:spacing w:val="8"/>
          <w:kern w:val="0"/>
          <w:sz w:val="22"/>
          <w14:textFill>
            <w14:solidFill>
              <w14:schemeClr w14:val="tx1"/>
            </w14:solidFill>
          </w14:textFill>
        </w:rPr>
        <w:t>第四课 我国的个人收入分配与社会保障</w:t>
      </w:r>
    </w:p>
    <w:p>
      <w:pPr>
        <w:spacing w:line="300" w:lineRule="exact"/>
        <w:jc w:val="left"/>
        <w:rPr>
          <w:rFonts w:ascii="Times New Roman" w:cs="Times New Roman" w:hAnsi="Times New Roman"/>
          <w:color w:themeColor="text1" w:val="000000"/>
          <w:szCs w:val="21"/>
          <w14:textFill>
            <w14:solidFill>
              <w14:schemeClr w14:val="tx1"/>
            </w14:solidFill>
          </w14:textFill>
        </w:rPr>
      </w:pPr>
      <w:r>
        <w:rPr>
          <w:rFonts w:ascii="Times New Roman" w:cs="Times New Roman" w:hAnsi="Times New Roman"/>
          <w:color w:themeColor="text1" w:val="000000"/>
          <w:szCs w:val="21"/>
          <w14:textFill>
            <w14:solidFill>
              <w14:schemeClr w14:val="tx1"/>
            </w14:solidFill>
          </w14:textFill>
        </w:rPr>
        <w:t>1.公有制领域的分配方式都是按劳分配。</w:t>
      </w:r>
    </w:p>
    <w:p>
      <w:pPr>
        <w:numPr>
          <w:ilvl w:val="0"/>
          <w:numId w:val="3"/>
        </w:numPr>
        <w:spacing w:line="300" w:lineRule="exact"/>
        <w:jc w:val="left"/>
        <w:rPr>
          <w:rFonts w:ascii="Times New Roman" w:cs="Times New Roman" w:eastAsia="楷体" w:hAnsi="Times New Roman"/>
          <w:color w:themeColor="text1" w:val="000000"/>
          <w:sz w:val="20"/>
          <w:szCs w:val="20"/>
          <w14:textFill>
            <w14:solidFill>
              <w14:schemeClr w14:val="tx1"/>
            </w14:solidFill>
          </w14:textFill>
        </w:rPr>
      </w:pPr>
      <w:r>
        <w:rPr>
          <w:rFonts w:ascii="Times New Roman" w:cs="Times New Roman" w:eastAsia="楷体" w:hAnsi="Times New Roman"/>
          <w:color w:themeColor="text1" w:val="000000"/>
          <w:sz w:val="20"/>
          <w:szCs w:val="20"/>
          <w14:textFill>
            <w14:solidFill>
              <w14:schemeClr w14:val="tx1"/>
            </w14:solidFill>
          </w14:textFill>
        </w:rPr>
        <w:t>公有制领域还可以存在其他分配方式，如按要素分配。</w:t>
      </w:r>
    </w:p>
    <w:p>
      <w:pPr>
        <w:spacing w:line="300" w:lineRule="exact"/>
        <w:jc w:val="left"/>
        <w:rPr>
          <w:rFonts w:ascii="宋体" w:eastAsia="宋体" w:hAnsi="宋体" w:hint="eastAsia"/>
          <w:szCs w:val="21"/>
        </w:rPr>
      </w:pPr>
      <w:r>
        <w:rPr>
          <w:rFonts w:ascii="宋体" w:eastAsia="宋体" w:hAnsi="宋体" w:hint="eastAsia"/>
          <w:szCs w:val="21"/>
        </w:rPr>
        <w:t>2.</w:t>
      </w:r>
      <w:r>
        <w:rPr>
          <w:rFonts w:ascii="宋体" w:eastAsia="宋体" w:hAnsi="宋体"/>
          <w:szCs w:val="21"/>
        </w:rPr>
        <w:t>要充分发挥按要素分配在缩小收入差距方面的作用。</w:t>
      </w:r>
    </w:p>
    <w:p>
      <w:pPr>
        <w:numPr>
          <w:ilvl w:val="0"/>
          <w:numId w:val="1"/>
        </w:numPr>
        <w:spacing w:line="260" w:lineRule="exact"/>
        <w:jc w:val="left"/>
        <w:rPr>
          <w:rFonts w:ascii="楷体" w:cs="楷体" w:eastAsia="楷体" w:hAnsi="楷体" w:hint="eastAsia"/>
          <w:szCs w:val="21"/>
        </w:rPr>
      </w:pPr>
      <w:r>
        <w:rPr>
          <w:rFonts w:ascii="楷体" w:cs="楷体" w:eastAsia="楷体" w:hAnsi="楷体" w:hint="eastAsia"/>
          <w:szCs w:val="21"/>
        </w:rPr>
        <w:t>按要素分配可以激发各要素活力，有利于提高效率，但不利于缩小收入差距。</w:t>
      </w:r>
    </w:p>
    <w:p>
      <w:pPr>
        <w:spacing w:line="300" w:lineRule="exact"/>
        <w:jc w:val="left"/>
        <w:rPr>
          <w:rFonts w:ascii="Times New Roman" w:cs="Times New Roman" w:hAnsi="Times New Roman"/>
          <w:color w:themeColor="text1" w:val="000000"/>
          <w:szCs w:val="21"/>
          <w14:textFill>
            <w14:solidFill>
              <w14:schemeClr w14:val="tx1"/>
            </w14:solidFill>
          </w14:textFill>
        </w:rPr>
      </w:pPr>
      <w:r>
        <w:rPr>
          <w:rFonts w:ascii="Times New Roman" w:cs="Times New Roman" w:hAnsi="Times New Roman" w:hint="eastAsia"/>
          <w:color w:themeColor="text1" w:val="000000"/>
          <w:szCs w:val="21"/>
          <w14:textFill>
            <w14:solidFill>
              <w14:schemeClr w14:val="tx1"/>
            </w14:solidFill>
          </w14:textFill>
        </w:rPr>
        <w:t>3</w:t>
      </w:r>
      <w:r>
        <w:rPr>
          <w:rFonts w:ascii="Times New Roman" w:cs="Times New Roman" w:hAnsi="Times New Roman"/>
          <w:color w:themeColor="text1" w:val="000000"/>
          <w:szCs w:val="21"/>
          <w14:textFill>
            <w14:solidFill>
              <w14:schemeClr w14:val="tx1"/>
            </w14:solidFill>
          </w14:textFill>
        </w:rPr>
        <w:t>.叔叔经营农家乐，其收入主要属于财产性收入。</w:t>
      </w:r>
    </w:p>
    <w:p>
      <w:pPr>
        <w:numPr>
          <w:ilvl w:val="0"/>
          <w:numId w:val="1"/>
        </w:numPr>
        <w:spacing w:line="260" w:lineRule="exact"/>
        <w:jc w:val="left"/>
        <w:rPr>
          <w:rFonts w:ascii="楷体" w:cs="楷体" w:eastAsia="楷体" w:hAnsi="楷体" w:hint="eastAsia"/>
          <w:szCs w:val="21"/>
        </w:rPr>
      </w:pPr>
      <w:r>
        <w:rPr>
          <w:rFonts w:ascii="楷体" w:cs="楷体" w:eastAsia="楷体" w:hAnsi="楷体" w:hint="eastAsia"/>
          <w:szCs w:val="21"/>
        </w:rPr>
        <w:t>叔叔经营农家乐，其收入主要属于经营性收入，属于按生产要素分配。</w:t>
      </w:r>
    </w:p>
    <w:p>
      <w:pPr>
        <w:spacing w:line="300" w:lineRule="exact"/>
        <w:jc w:val="left"/>
        <w:rPr>
          <w:rFonts w:ascii="Times New Roman" w:cs="Times New Roman" w:hAnsi="Times New Roman"/>
          <w:color w:themeColor="text1" w:val="000000"/>
          <w:szCs w:val="21"/>
          <w14:textFill>
            <w14:solidFill>
              <w14:schemeClr w14:val="tx1"/>
            </w14:solidFill>
          </w14:textFill>
        </w:rPr>
      </w:pPr>
      <w:r>
        <w:rPr>
          <w:rFonts w:ascii="Times New Roman" w:cs="Times New Roman" w:hAnsi="Times New Roman" w:hint="eastAsia"/>
          <w:color w:themeColor="text1" w:val="000000"/>
          <w:szCs w:val="21"/>
          <w14:textFill>
            <w14:solidFill>
              <w14:schemeClr w14:val="tx1"/>
            </w14:solidFill>
          </w14:textFill>
        </w:rPr>
        <w:t>4</w:t>
      </w:r>
      <w:r>
        <w:rPr>
          <w:rFonts w:ascii="Times New Roman" w:cs="Times New Roman" w:hAnsi="Times New Roman"/>
          <w:color w:themeColor="text1" w:val="000000"/>
          <w:szCs w:val="21"/>
          <w14:textFill>
            <w14:solidFill>
              <w14:schemeClr w14:val="tx1"/>
            </w14:solidFill>
          </w14:textFill>
        </w:rPr>
        <w:t>.承包土地种植经济作物获得的收入属于财产性收入。</w:t>
      </w:r>
    </w:p>
    <w:p>
      <w:pPr>
        <w:numPr>
          <w:ilvl w:val="0"/>
          <w:numId w:val="3"/>
        </w:numPr>
        <w:spacing w:line="300" w:lineRule="exact"/>
        <w:jc w:val="left"/>
        <w:rPr>
          <w:rFonts w:ascii="Times New Roman" w:cs="Times New Roman" w:eastAsia="楷体" w:hAnsi="Times New Roman"/>
          <w:color w:themeColor="text1" w:val="000000"/>
          <w:sz w:val="20"/>
          <w:szCs w:val="20"/>
          <w14:textFill>
            <w14:solidFill>
              <w14:schemeClr w14:val="tx1"/>
            </w14:solidFill>
          </w14:textFill>
        </w:rPr>
      </w:pPr>
      <w:r>
        <w:rPr>
          <w:rFonts w:ascii="Times New Roman" w:cs="Times New Roman" w:eastAsia="楷体" w:hAnsi="Times New Roman"/>
          <w:color w:themeColor="text1" w:val="000000"/>
          <w:sz w:val="20"/>
          <w:szCs w:val="20"/>
          <w14:textFill>
            <w14:solidFill>
              <w14:schemeClr w14:val="tx1"/>
            </w14:solidFill>
          </w14:textFill>
        </w:rPr>
        <w:t>承包土地种植经济作物获得的收入属于劳动性收入。</w:t>
      </w:r>
    </w:p>
    <w:p>
      <w:pPr>
        <w:spacing w:line="300" w:lineRule="exact"/>
        <w:jc w:val="left"/>
        <w:rPr>
          <w:rFonts w:ascii="宋体" w:eastAsia="宋体" w:hAnsi="宋体" w:hint="eastAsia"/>
          <w:szCs w:val="21"/>
        </w:rPr>
      </w:pPr>
      <w:r>
        <w:rPr>
          <w:rFonts w:ascii="宋体" w:eastAsia="宋体" w:hAnsi="宋体" w:hint="eastAsia"/>
          <w:szCs w:val="21"/>
        </w:rPr>
        <w:t>5.</w:t>
      </w:r>
      <w:r>
        <w:rPr>
          <w:rFonts w:ascii="宋体" w:eastAsia="宋体" w:hAnsi="宋体"/>
          <w:szCs w:val="21"/>
        </w:rPr>
        <w:t>入股村办企业分红收入属于按劳分配。</w:t>
      </w:r>
    </w:p>
    <w:p>
      <w:pPr>
        <w:numPr>
          <w:ilvl w:val="0"/>
          <w:numId w:val="1"/>
        </w:numPr>
        <w:spacing w:line="260" w:lineRule="exact"/>
        <w:jc w:val="left"/>
        <w:rPr>
          <w:rFonts w:ascii="楷体" w:cs="楷体" w:eastAsia="楷体" w:hAnsi="楷体" w:hint="eastAsia"/>
          <w:szCs w:val="21"/>
        </w:rPr>
      </w:pPr>
      <w:r>
        <w:rPr>
          <w:rFonts w:ascii="楷体" w:cs="楷体" w:eastAsia="楷体" w:hAnsi="楷体" w:hint="eastAsia"/>
          <w:szCs w:val="21"/>
        </w:rPr>
        <w:t>入股村办企业分红收入属于按资本要素分配，不属于按劳分配。</w:t>
      </w:r>
    </w:p>
    <w:p>
      <w:pPr>
        <w:spacing w:line="300" w:lineRule="exact"/>
        <w:jc w:val="left"/>
        <w:rPr>
          <w:rFonts w:ascii="宋体" w:eastAsia="宋体" w:hAnsi="宋体" w:hint="eastAsia"/>
          <w:szCs w:val="21"/>
        </w:rPr>
      </w:pPr>
      <w:r>
        <w:rPr>
          <w:rFonts w:ascii="宋体" w:eastAsia="宋体" w:hAnsi="宋体" w:hint="eastAsia"/>
          <w:szCs w:val="21"/>
        </w:rPr>
        <w:t>6.</w:t>
      </w:r>
      <w:r>
        <w:rPr>
          <w:rFonts w:ascii="宋体" w:eastAsia="宋体" w:hAnsi="宋体"/>
          <w:szCs w:val="21"/>
        </w:rPr>
        <w:t>工资收入都是通过按劳分配方式获得的。</w:t>
      </w:r>
    </w:p>
    <w:p>
      <w:pPr>
        <w:numPr>
          <w:ilvl w:val="0"/>
          <w:numId w:val="1"/>
        </w:numPr>
        <w:spacing w:line="260" w:lineRule="exact"/>
        <w:jc w:val="left"/>
        <w:rPr>
          <w:rFonts w:ascii="楷体" w:cs="楷体" w:eastAsia="楷体" w:hAnsi="楷体" w:hint="eastAsia"/>
          <w:szCs w:val="21"/>
        </w:rPr>
      </w:pPr>
      <w:r>
        <w:rPr>
          <w:rFonts w:ascii="楷体" w:cs="楷体" w:eastAsia="楷体" w:hAnsi="楷体" w:hint="eastAsia"/>
          <w:szCs w:val="21"/>
        </w:rPr>
        <w:t>按劳分配只存在于公有制经济中。非公有制经济中的工资收入属于按生产要素分配，如劳动要素、技术要素等。</w:t>
      </w:r>
    </w:p>
    <w:p>
      <w:pPr>
        <w:spacing w:line="300" w:lineRule="exact"/>
        <w:jc w:val="left"/>
        <w:rPr>
          <w:rFonts w:ascii="Times New Roman" w:cs="Times New Roman" w:hAnsi="Times New Roman"/>
          <w:color w:themeColor="text1" w:val="000000"/>
          <w:szCs w:val="21"/>
          <w14:textFill>
            <w14:solidFill>
              <w14:schemeClr w14:val="tx1"/>
            </w14:solidFill>
          </w14:textFill>
        </w:rPr>
      </w:pPr>
      <w:r>
        <w:rPr>
          <w:rFonts w:ascii="Times New Roman" w:cs="Times New Roman" w:hAnsi="Times New Roman" w:hint="eastAsia"/>
          <w:color w:themeColor="text1" w:val="000000"/>
          <w:szCs w:val="21"/>
          <w14:textFill>
            <w14:solidFill>
              <w14:schemeClr w14:val="tx1"/>
            </w14:solidFill>
          </w14:textFill>
        </w:rPr>
        <w:t>7</w:t>
      </w:r>
      <w:r>
        <w:rPr>
          <w:rFonts w:ascii="Times New Roman" w:cs="Times New Roman" w:hAnsi="Times New Roman"/>
          <w:color w:themeColor="text1" w:val="000000"/>
          <w:szCs w:val="21"/>
          <w14:textFill>
            <w14:solidFill>
              <w14:schemeClr w14:val="tx1"/>
            </w14:solidFill>
          </w14:textFill>
        </w:rPr>
        <w:t>.我国的个税调整体现了初次分配更加注重效率的分配原则。</w:t>
      </w:r>
    </w:p>
    <w:p>
      <w:pPr>
        <w:numPr>
          <w:ilvl w:val="0"/>
          <w:numId w:val="1"/>
        </w:numPr>
        <w:spacing w:line="260" w:lineRule="exact"/>
        <w:jc w:val="left"/>
        <w:rPr>
          <w:rFonts w:ascii="楷体" w:cs="楷体" w:eastAsia="楷体" w:hAnsi="楷体" w:hint="eastAsia"/>
          <w:szCs w:val="21"/>
        </w:rPr>
      </w:pPr>
      <w:r>
        <w:rPr>
          <w:rFonts w:ascii="楷体" w:cs="楷体" w:eastAsia="楷体" w:hAnsi="楷体" w:hint="eastAsia"/>
          <w:szCs w:val="21"/>
        </w:rPr>
        <w:t>我国的个税调整体现了再分配更加注重效率的分配原则。</w:t>
      </w:r>
    </w:p>
    <w:p>
      <w:pPr>
        <w:spacing w:line="300" w:lineRule="exact"/>
        <w:jc w:val="left"/>
        <w:rPr>
          <w:rFonts w:ascii="Times New Roman" w:cs="Times New Roman" w:hAnsi="Times New Roman"/>
          <w:color w:themeColor="text1" w:val="000000"/>
          <w:sz w:val="20"/>
          <w:szCs w:val="20"/>
          <w14:textFill>
            <w14:solidFill>
              <w14:schemeClr w14:val="tx1"/>
            </w14:solidFill>
          </w14:textFill>
        </w:rPr>
      </w:pPr>
      <w:r>
        <w:rPr>
          <w:rFonts w:ascii="Times New Roman" w:cs="Times New Roman" w:hAnsi="Times New Roman" w:hint="eastAsia"/>
          <w:color w:themeColor="text1" w:val="000000"/>
          <w:sz w:val="20"/>
          <w:szCs w:val="20"/>
          <w14:textFill>
            <w14:solidFill>
              <w14:schemeClr w14:val="tx1"/>
            </w14:solidFill>
          </w14:textFill>
        </w:rPr>
        <w:t>8</w:t>
      </w:r>
      <w:r>
        <w:rPr>
          <w:rFonts w:ascii="Times New Roman" w:cs="Times New Roman" w:hAnsi="Times New Roman"/>
          <w:color w:themeColor="text1" w:val="000000"/>
          <w:sz w:val="20"/>
          <w:szCs w:val="20"/>
          <w14:textFill>
            <w14:solidFill>
              <w14:schemeClr w14:val="tx1"/>
            </w14:solidFill>
          </w14:textFill>
        </w:rPr>
        <w:t>.劳动是财富的源泉，劳动性收入是居民获得收入的唯一途径。</w:t>
      </w:r>
      <w:r>
        <w:rPr>
          <w:rFonts w:ascii="Times New Roman" w:cs="Times New Roman" w:hAnsi="Times New Roman"/>
          <w:color w:themeColor="text1" w:val="000000"/>
          <w:sz w:val="20"/>
          <w:szCs w:val="20"/>
          <w14:textFill>
            <w14:solidFill>
              <w14:schemeClr w14:val="tx1"/>
            </w14:solidFill>
          </w14:textFill>
        </w:rPr>
        <w:tab/>
      </w:r>
    </w:p>
    <w:p>
      <w:pPr>
        <w:numPr>
          <w:ilvl w:val="0"/>
          <w:numId w:val="1"/>
        </w:numPr>
        <w:spacing w:line="260" w:lineRule="exact"/>
        <w:jc w:val="left"/>
        <w:rPr>
          <w:rFonts w:ascii="楷体" w:cs="楷体" w:eastAsia="楷体" w:hAnsi="楷体" w:hint="eastAsia"/>
          <w:szCs w:val="21"/>
        </w:rPr>
      </w:pPr>
      <w:r>
        <w:rPr>
          <w:rFonts w:ascii="楷体" w:cs="楷体" w:eastAsia="楷体" w:hAnsi="楷体" w:hint="eastAsia"/>
          <w:szCs w:val="21"/>
        </w:rPr>
        <w:t>劳动是财富的源泉，劳动性收入、财产性收入、经营性收入和转移支付是居民获得收入的途径。</w:t>
      </w:r>
    </w:p>
    <w:p>
      <w:pPr>
        <w:spacing w:line="300" w:lineRule="exact"/>
        <w:jc w:val="left"/>
        <w:rPr>
          <w:rFonts w:ascii="宋体" w:eastAsia="宋体" w:hAnsi="宋体" w:hint="eastAsia"/>
          <w:szCs w:val="21"/>
        </w:rPr>
      </w:pPr>
      <w:r>
        <w:rPr>
          <w:rFonts w:ascii="宋体" w:eastAsia="宋体" w:hAnsi="宋体" w:hint="eastAsia"/>
          <w:szCs w:val="21"/>
        </w:rPr>
        <w:t>9.</w:t>
      </w:r>
      <w:r>
        <w:rPr>
          <w:rFonts w:ascii="宋体" w:eastAsia="宋体" w:hAnsi="宋体"/>
          <w:szCs w:val="21"/>
        </w:rPr>
        <w:t>购买债券获得的利息收入、购买股票获得的股息和红利收入都属于合法的劳动性收入。</w:t>
      </w:r>
    </w:p>
    <w:p>
      <w:pPr>
        <w:numPr>
          <w:ilvl w:val="0"/>
          <w:numId w:val="3"/>
        </w:numPr>
        <w:spacing w:line="300" w:lineRule="exact"/>
        <w:jc w:val="left"/>
        <w:rPr>
          <w:rFonts w:ascii="楷体" w:cs="楷体" w:eastAsia="楷体" w:hAnsi="楷体" w:hint="eastAsia"/>
          <w:szCs w:val="21"/>
        </w:rPr>
      </w:pPr>
      <w:r>
        <w:rPr>
          <w:rFonts w:ascii="楷体" w:cs="楷体" w:eastAsia="楷体" w:hAnsi="楷体" w:hint="eastAsia"/>
          <w:szCs w:val="21"/>
        </w:rPr>
        <w:t>购买债券获得的利息收入、购买股票获得的股息和红利收入都属于合法的财产性收入。</w:t>
      </w:r>
    </w:p>
    <w:p>
      <w:pPr>
        <w:spacing w:line="300" w:lineRule="exact"/>
        <w:jc w:val="left"/>
        <w:rPr>
          <w:rFonts w:ascii="宋体" w:eastAsia="宋体" w:hAnsi="宋体" w:hint="eastAsia"/>
          <w:szCs w:val="21"/>
        </w:rPr>
      </w:pPr>
      <w:r>
        <w:rPr>
          <w:rFonts w:ascii="宋体" w:eastAsia="宋体" w:hAnsi="宋体" w:hint="eastAsia"/>
          <w:szCs w:val="21"/>
        </w:rPr>
        <w:t>10.</w:t>
      </w:r>
      <w:r>
        <w:rPr>
          <w:rFonts w:ascii="宋体" w:eastAsia="宋体" w:hAnsi="宋体"/>
          <w:szCs w:val="21"/>
        </w:rPr>
        <w:t>完善个人收入分配，要建设效率优先、兼顾公平的分配体系。</w:t>
      </w:r>
    </w:p>
    <w:p>
      <w:pPr>
        <w:numPr>
          <w:ilvl w:val="0"/>
          <w:numId w:val="1"/>
        </w:numPr>
        <w:spacing w:line="260" w:lineRule="exact"/>
        <w:jc w:val="left"/>
        <w:rPr>
          <w:rFonts w:ascii="楷体" w:cs="楷体" w:eastAsia="楷体" w:hAnsi="楷体" w:hint="eastAsia"/>
          <w:szCs w:val="21"/>
        </w:rPr>
      </w:pPr>
      <w:r>
        <w:rPr>
          <w:rFonts w:ascii="楷体" w:cs="楷体" w:eastAsia="楷体" w:hAnsi="楷体" w:hint="eastAsia"/>
          <w:szCs w:val="21"/>
        </w:rPr>
        <w:t>完善个人收入分配，要建设体现效率、促进公平的分配体系。</w:t>
      </w:r>
    </w:p>
    <w:p>
      <w:pPr>
        <w:spacing w:line="300" w:lineRule="exact"/>
        <w:jc w:val="left"/>
        <w:rPr>
          <w:rFonts w:ascii="宋体" w:eastAsia="宋体" w:hAnsi="宋体" w:hint="eastAsia"/>
          <w:sz w:val="20"/>
          <w:szCs w:val="20"/>
        </w:rPr>
      </w:pPr>
      <w:r>
        <w:rPr>
          <w:rFonts w:ascii="宋体" w:eastAsia="宋体" w:hAnsi="宋体" w:hint="eastAsia"/>
          <w:sz w:val="20"/>
          <w:szCs w:val="20"/>
        </w:rPr>
        <w:t>11.</w:t>
      </w:r>
      <w:r>
        <w:rPr>
          <w:rFonts w:ascii="宋体" w:eastAsia="宋体" w:hAnsi="宋体"/>
          <w:sz w:val="20"/>
          <w:szCs w:val="20"/>
        </w:rPr>
        <w:t>增值税是调节个人收入分配、实现社会公平的有效手段。</w:t>
      </w:r>
    </w:p>
    <w:p>
      <w:pPr>
        <w:numPr>
          <w:ilvl w:val="0"/>
          <w:numId w:val="1"/>
        </w:numPr>
        <w:spacing w:line="260" w:lineRule="exact"/>
        <w:jc w:val="left"/>
        <w:rPr>
          <w:rFonts w:ascii="楷体" w:cs="楷体" w:eastAsia="楷体" w:hAnsi="楷体" w:hint="eastAsia"/>
          <w:szCs w:val="21"/>
        </w:rPr>
      </w:pPr>
      <w:r>
        <w:rPr>
          <w:rFonts w:ascii="楷体" w:cs="楷体" w:eastAsia="楷体" w:hAnsi="楷体" w:hint="eastAsia"/>
          <w:szCs w:val="21"/>
        </w:rPr>
        <w:t>个人所得税是调节个人收入分配、实现社会公平的有效手段。</w:t>
      </w:r>
    </w:p>
    <w:p>
      <w:pPr>
        <w:spacing w:line="300" w:lineRule="exact"/>
        <w:jc w:val="left"/>
        <w:rPr>
          <w:rFonts w:ascii="宋体" w:eastAsia="宋体" w:hAnsi="宋体" w:hint="eastAsia"/>
          <w:szCs w:val="21"/>
        </w:rPr>
      </w:pPr>
      <w:r>
        <w:rPr>
          <w:rFonts w:ascii="宋体" w:eastAsia="宋体" w:hAnsi="宋体" w:hint="eastAsia"/>
          <w:szCs w:val="21"/>
        </w:rPr>
        <w:t>12.</w:t>
      </w:r>
      <w:r>
        <w:rPr>
          <w:rFonts w:ascii="宋体" w:eastAsia="宋体" w:hAnsi="宋体"/>
          <w:szCs w:val="21"/>
        </w:rPr>
        <w:t>国家依法建立起由企业和个人承担主要责任的社会保障“安全网”。</w:t>
      </w:r>
      <w:r>
        <w:rPr>
          <w:rFonts w:ascii="宋体" w:eastAsia="宋体" w:hAnsi="宋体" w:hint="eastAsia"/>
          <w:szCs w:val="21"/>
        </w:rPr>
        <w:t xml:space="preserve"> </w:t>
      </w:r>
    </w:p>
    <w:p>
      <w:pPr>
        <w:numPr>
          <w:ilvl w:val="0"/>
          <w:numId w:val="1"/>
        </w:numPr>
        <w:spacing w:line="260" w:lineRule="exact"/>
        <w:jc w:val="left"/>
        <w:rPr>
          <w:rFonts w:ascii="楷体" w:cs="楷体" w:eastAsia="楷体" w:hAnsi="楷体" w:hint="eastAsia"/>
          <w:szCs w:val="21"/>
        </w:rPr>
      </w:pPr>
      <w:r>
        <w:rPr>
          <w:rFonts w:ascii="楷体" w:cs="楷体" w:eastAsia="楷体" w:hAnsi="楷体" w:hint="eastAsia"/>
          <w:szCs w:val="21"/>
        </w:rPr>
        <w:t>国家依法建立起由政府和社会承担主要责任的社会保障“安全网”。</w:t>
      </w:r>
    </w:p>
    <w:p>
      <w:pPr>
        <w:spacing w:line="300" w:lineRule="exact"/>
        <w:jc w:val="left"/>
        <w:rPr>
          <w:rFonts w:ascii="Times New Roman" w:cs="Times New Roman" w:hAnsi="Times New Roman"/>
          <w:color w:themeColor="text1" w:val="000000"/>
          <w:szCs w:val="21"/>
          <w14:textFill>
            <w14:solidFill>
              <w14:schemeClr w14:val="tx1"/>
            </w14:solidFill>
          </w14:textFill>
        </w:rPr>
      </w:pPr>
      <w:r>
        <w:rPr>
          <w:rFonts w:ascii="Times New Roman" w:cs="Times New Roman" w:hAnsi="Times New Roman" w:hint="eastAsia"/>
          <w:color w:themeColor="text1" w:val="000000"/>
          <w:szCs w:val="21"/>
          <w14:textFill>
            <w14:solidFill>
              <w14:schemeClr w14:val="tx1"/>
            </w14:solidFill>
          </w14:textFill>
        </w:rPr>
        <w:t>13</w:t>
      </w:r>
      <w:r>
        <w:rPr>
          <w:rFonts w:ascii="Times New Roman" w:cs="Times New Roman" w:hAnsi="Times New Roman"/>
          <w:color w:themeColor="text1" w:val="000000"/>
          <w:szCs w:val="21"/>
          <w14:textFill>
            <w14:solidFill>
              <w14:schemeClr w14:val="tx1"/>
            </w14:solidFill>
          </w14:textFill>
        </w:rPr>
        <w:t>.社会保障通过国民收入的初次分配，</w:t>
      </w:r>
      <w:r>
        <w:rPr>
          <w:rFonts w:ascii="Times New Roman" w:cs="Times New Roman" w:hAnsi="Times New Roman" w:hint="eastAsia"/>
          <w:color w:themeColor="text1" w:val="000000"/>
          <w:szCs w:val="21"/>
          <w14:textFill>
            <w14:solidFill>
              <w14:schemeClr w14:val="tx1"/>
            </w14:solidFill>
          </w14:textFill>
        </w:rPr>
        <w:t>能够</w:t>
      </w:r>
      <w:r>
        <w:rPr>
          <w:rFonts w:ascii="Times New Roman" w:cs="Times New Roman" w:hAnsi="Times New Roman"/>
          <w:color w:themeColor="text1" w:val="000000"/>
          <w:szCs w:val="21"/>
          <w14:textFill>
            <w14:solidFill>
              <w14:schemeClr w14:val="tx1"/>
            </w14:solidFill>
          </w14:textFill>
        </w:rPr>
        <w:t>促进社会公平正义。</w:t>
      </w:r>
    </w:p>
    <w:p>
      <w:pPr>
        <w:numPr>
          <w:ilvl w:val="0"/>
          <w:numId w:val="1"/>
        </w:numPr>
        <w:spacing w:line="260" w:lineRule="exact"/>
        <w:jc w:val="left"/>
        <w:rPr>
          <w:rFonts w:ascii="楷体" w:cs="楷体" w:eastAsia="楷体" w:hAnsi="楷体" w:hint="eastAsia"/>
          <w:szCs w:val="21"/>
        </w:rPr>
      </w:pPr>
      <w:r>
        <w:rPr>
          <w:rFonts w:ascii="楷体" w:cs="楷体" w:eastAsia="楷体" w:hAnsi="楷体" w:hint="eastAsia"/>
          <w:szCs w:val="21"/>
        </w:rPr>
        <w:t>社会保障通过国民收入的再分配，能够调节不同社会群体之间的利益关系，化解社会矛盾和冲突，促进社会公平正义。</w:t>
      </w:r>
    </w:p>
    <w:p>
      <w:pPr>
        <w:spacing w:line="300" w:lineRule="exact"/>
        <w:jc w:val="left"/>
        <w:rPr>
          <w:rFonts w:ascii="Times New Roman" w:cs="Times New Roman" w:hAnsi="Times New Roman"/>
          <w:color w:themeColor="text1" w:val="000000"/>
          <w:szCs w:val="21"/>
          <w14:textFill>
            <w14:solidFill>
              <w14:schemeClr w14:val="tx1"/>
            </w14:solidFill>
          </w14:textFill>
        </w:rPr>
      </w:pPr>
      <w:r>
        <w:rPr>
          <w:rFonts w:ascii="Times New Roman" w:cs="Times New Roman" w:hAnsi="Times New Roman" w:hint="eastAsia"/>
          <w:color w:themeColor="text1" w:val="000000"/>
          <w:szCs w:val="21"/>
          <w14:textFill>
            <w14:solidFill>
              <w14:schemeClr w14:val="tx1"/>
            </w14:solidFill>
          </w14:textFill>
        </w:rPr>
        <w:t>14</w:t>
      </w:r>
      <w:r>
        <w:rPr>
          <w:rFonts w:ascii="Times New Roman" w:cs="Times New Roman" w:hAnsi="Times New Roman"/>
          <w:color w:themeColor="text1" w:val="000000"/>
          <w:szCs w:val="21"/>
          <w14:textFill>
            <w14:solidFill>
              <w14:schemeClr w14:val="tx1"/>
            </w14:solidFill>
          </w14:textFill>
        </w:rPr>
        <w:t>.社会福利是我国社会保障体系的核心。</w:t>
      </w:r>
    </w:p>
    <w:p>
      <w:pPr>
        <w:numPr>
          <w:ilvl w:val="0"/>
          <w:numId w:val="1"/>
        </w:numPr>
        <w:spacing w:line="260" w:lineRule="exact"/>
        <w:jc w:val="left"/>
        <w:rPr>
          <w:rFonts w:ascii="楷体" w:cs="楷体" w:eastAsia="楷体" w:hAnsi="楷体" w:hint="eastAsia"/>
          <w:szCs w:val="21"/>
        </w:rPr>
      </w:pPr>
      <w:r>
        <w:rPr>
          <w:rFonts w:ascii="楷体" w:cs="楷体" w:eastAsia="楷体" w:hAnsi="楷体" w:hint="eastAsia"/>
          <w:szCs w:val="21"/>
        </w:rPr>
        <w:t>社会保险是我国社会保障体系的核心。</w:t>
      </w:r>
    </w:p>
    <w:p>
      <w:pPr>
        <w:spacing w:line="300" w:lineRule="exact"/>
        <w:jc w:val="left"/>
        <w:rPr>
          <w:rFonts w:ascii="Times New Roman" w:cs="Times New Roman" w:hAnsi="Times New Roman"/>
          <w:color w:themeColor="text1" w:val="000000"/>
          <w:szCs w:val="21"/>
          <w14:textFill>
            <w14:solidFill>
              <w14:schemeClr w14:val="tx1"/>
            </w14:solidFill>
          </w14:textFill>
        </w:rPr>
      </w:pPr>
      <w:r>
        <w:rPr>
          <w:rFonts w:ascii="宋体" w:cs="宋体" w:eastAsia="宋体" w:hAnsi="宋体" w:hint="eastAsia"/>
          <w:color w:themeColor="text1" w:val="000000"/>
          <w:szCs w:val="21"/>
          <w14:textFill>
            <w14:solidFill>
              <w14:schemeClr w14:val="tx1"/>
            </w14:solidFill>
          </w14:textFill>
        </w:rPr>
        <w:t>15</w:t>
      </w:r>
      <w:r>
        <w:rPr>
          <w:rFonts w:ascii="Times New Roman" w:cs="Times New Roman" w:hAnsi="Times New Roman"/>
          <w:color w:themeColor="text1" w:val="000000"/>
          <w:szCs w:val="21"/>
          <w14:textFill>
            <w14:solidFill>
              <w14:schemeClr w14:val="tx1"/>
            </w14:solidFill>
          </w14:textFill>
        </w:rPr>
        <w:t>.社会保险是最先形成的、历史最悠久的社会保障形式，是保障社会成员安全和生存权利的“最后一道防线”。</w:t>
      </w:r>
    </w:p>
    <w:p>
      <w:pPr>
        <w:numPr>
          <w:ilvl w:val="0"/>
          <w:numId w:val="1"/>
        </w:numPr>
        <w:spacing w:line="260" w:lineRule="exact"/>
        <w:jc w:val="left"/>
        <w:rPr>
          <w:rFonts w:ascii="楷体" w:cs="楷体" w:eastAsia="楷体" w:hAnsi="楷体" w:hint="eastAsia"/>
          <w:szCs w:val="21"/>
        </w:rPr>
      </w:pPr>
      <w:r>
        <w:rPr>
          <w:rFonts w:ascii="楷体" w:cs="楷体" w:eastAsia="楷体" w:hAnsi="楷体" w:hint="eastAsia"/>
          <w:szCs w:val="21"/>
        </w:rPr>
        <w:t>社会救助是最先形成的、历史最悠久的社会保障形式，是保障社会成员安全和生存权利的“最后一道防线”。</w:t>
      </w:r>
    </w:p>
    <w:p>
      <w:pPr>
        <w:spacing w:line="300" w:lineRule="exact"/>
        <w:jc w:val="left"/>
        <w:rPr>
          <w:rFonts w:ascii="楷体" w:cs="楷体" w:eastAsia="楷体" w:hAnsi="楷体" w:hint="eastAsia"/>
          <w:sz w:val="20"/>
          <w:szCs w:val="20"/>
        </w:rPr>
      </w:pPr>
      <w:r>
        <w:rPr>
          <w:rFonts w:ascii="宋体" w:eastAsia="宋体" w:hAnsi="宋体" w:hint="eastAsia"/>
          <w:sz w:val="20"/>
          <w:szCs w:val="20"/>
        </w:rPr>
        <w:t>16.</w:t>
      </w:r>
      <w:r>
        <w:rPr>
          <w:rFonts w:ascii="宋体" w:eastAsia="宋体" w:hAnsi="宋体"/>
          <w:sz w:val="20"/>
          <w:szCs w:val="20"/>
        </w:rPr>
        <w:t xml:space="preserve">我国的社会保险有利于满足公民较高层次的保险需求。 </w:t>
      </w:r>
    </w:p>
    <w:p>
      <w:pPr>
        <w:numPr>
          <w:ilvl w:val="0"/>
          <w:numId w:val="1"/>
        </w:numPr>
        <w:spacing w:line="260" w:lineRule="exact"/>
        <w:jc w:val="left"/>
        <w:rPr>
          <w:rFonts w:ascii="楷体" w:cs="楷体" w:eastAsia="楷体" w:hAnsi="楷体" w:hint="eastAsia"/>
          <w:szCs w:val="21"/>
        </w:rPr>
      </w:pPr>
      <w:r>
        <w:rPr>
          <w:rFonts w:ascii="楷体" w:cs="楷体" w:eastAsia="楷体" w:hAnsi="楷体" w:hint="eastAsia"/>
          <w:szCs w:val="21"/>
        </w:rPr>
        <w:t>我国的社会保险保障的是社会成员的基本生活需求，能够满足被保险人较高层次的保险需求的是商业保险。</w:t>
      </w:r>
    </w:p>
    <w:p>
      <w:pPr>
        <w:spacing w:line="300" w:lineRule="exact"/>
        <w:jc w:val="left"/>
        <w:rPr>
          <w:rFonts w:ascii="宋体" w:eastAsia="宋体" w:hAnsi="宋体" w:hint="eastAsia"/>
          <w:szCs w:val="21"/>
        </w:rPr>
      </w:pPr>
      <w:r>
        <w:rPr>
          <w:rFonts w:ascii="宋体" w:eastAsia="宋体" w:hAnsi="宋体" w:hint="eastAsia"/>
          <w:szCs w:val="21"/>
        </w:rPr>
        <w:t>17.</w:t>
      </w:r>
      <w:r>
        <w:rPr>
          <w:rFonts w:ascii="宋体" w:eastAsia="宋体" w:hAnsi="宋体"/>
          <w:szCs w:val="21"/>
        </w:rPr>
        <w:t>新时代的社会保障水平越高越好。</w:t>
      </w:r>
    </w:p>
    <w:p>
      <w:pPr>
        <w:numPr>
          <w:ilvl w:val="0"/>
          <w:numId w:val="1"/>
        </w:numPr>
        <w:spacing w:line="260" w:lineRule="exact"/>
        <w:jc w:val="left"/>
        <w:rPr>
          <w:rFonts w:ascii="楷体" w:cs="楷体" w:eastAsia="楷体" w:hAnsi="楷体" w:hint="eastAsia"/>
          <w:szCs w:val="21"/>
        </w:rPr>
      </w:pPr>
      <w:r>
        <w:rPr>
          <w:rFonts w:ascii="楷体" w:cs="楷体" w:eastAsia="楷体" w:hAnsi="楷体" w:hint="eastAsia"/>
          <w:szCs w:val="21"/>
        </w:rPr>
        <w:t>社会保障水平不是越高越好，而是要建立起与经济发展水平相适应、保障适度的社会保障体系。</w:t>
      </w:r>
    </w:p>
    <w:sectPr>
      <w:headerReference r:id="rId6" w:type="even"/>
      <w:headerReference r:id="rId7" w:type="default"/>
      <w:footerReference r:id="rId8" w:type="default"/>
      <w:pgSz w:h="16838" w:w="11906"/>
      <w:pgMar w:bottom="720" w:footer="992" w:gutter="0" w:header="851" w:left="720" w:right="720" w:top="720"/>
      <w:cols w:equalWidth="0" w:num="2" w:space="708">
        <w:col w:space="425" w:w="5020"/>
        <w:col w:space="0" w:w="502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variable"/>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variable"/>
    <w:sig w:usb0="00000000" w:usb1="00000000" w:usb2="00000000" w:usb3="00000000" w:csb0="80000000" w:csb1="00000000"/>
  </w:font>
  <w:font w:name="Calibri">
    <w:panose1 w:val="020F0502020204030204"/>
    <w:charset w:val="00"/>
    <w:family w:val="swiss"/>
    <w:pitch w:val="variable"/>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height-relative:page;mso-position-horizontal-relative:margin;mso-position-vertical-relative:margin;mso-width-relative:page;position:absolute;rotation:315;z-index:-251658240" coordsize="21600,21600" o:allowincell="f" stroked="f">
          <v:fill opacity="0.5"/>
          <v:textpath style="font-family:宋体;font-size:8pt;v-text-align:center" trim="f" fitpath="t" xscal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4099" o:spid="_x0000_s2052" type="#_x0000_t75" alt="学科网 zxxk.com" style="width:0.05pt;height:0.05pt;margin-top:-20.75pt;margin-left:64.05pt;mso-height-relative:page;mso-width-relative:page;position:absolute;z-index:251659264" coordsize="21600,21600" o:preferrelative="t" filled="f" stroked="f">
          <v:stroke joinstyle="miter"/>
          <v:imagedata r:id="rId1" o:title="%25257B75232B38-A165-1FB7-499C-2E1C792CACB5%25257D"/>
          <o:lock v:ext="edit" aspectratio="t"/>
        </v:shape>
      </w:pict>
    </w:r>
    <w:r>
      <w:rPr>
        <w:rFonts w:ascii="Times New Roman" w:eastAsia="宋体" w:hAnsi="Times New Roman" w:cs="Times New Roman" w:hint="eastAsia"/>
        <w:color w:val="FFFFFF"/>
        <w:kern w:val="0"/>
        <w:sz w:val="2"/>
        <w:szCs w:val="2"/>
      </w:rPr>
      <w:t>学科网（北京）股份有限公司</w:t>
    </w:r>
  </w:p>
  <w:p w:rsidR="004151FC">
    <w:pPr>
      <w:tabs>
        <w:tab w:val="center" w:pos="4153"/>
        <w:tab w:val="right" w:pos="8306"/>
      </w:tabs>
      <w:snapToGrid w:val="0"/>
      <w:jc w:val="left"/>
      <w:rPr>
        <w:rFonts w:ascii="Times New Roman" w:eastAsia="宋体" w:hAnsi="Times New Roman" w:cs="Times New Roman"/>
        <w:kern w:val="0"/>
        <w:sz w:val="2"/>
        <w:szCs w:val="2"/>
      </w:rPr>
    </w:pPr>
    <w:r>
      <w:rPr>
        <w:color w:val="FFFFFF"/>
        <w:sz w:val="2"/>
        <w:szCs w:val="2"/>
      </w:rPr>
      <w:pict>
        <v:shape id="PowerPlusWaterMarkObject1453549720" o:spid="_x0000_s2053" type="#_x0000_t136" alt="学科网 zxxk.com" style="width:2.85pt;height:2.85pt;margin-top:407.9pt;margin-left:158.95pt;mso-position-horizontal-relative:margin;mso-position-vertical-relative:margin;position:absolute;rotation:315;z-index:-251656192" o:allowincell="f" filled="t" stroked="f">
          <v:fill opacity="0.5"/>
          <v:textpath style="font-family:宋体;font-size:8pt;v-same-letter-heights:f;v-text-reverse:f" string="zxxk.com"/>
          <w10:wrap anchorx="margin" anchory="margin"/>
        </v:shape>
      </w:pict>
    </w:r>
    <w:r>
      <w:rPr>
        <w:color w:val="FFFFFF"/>
        <w:sz w:val="2"/>
        <w:szCs w:val="2"/>
      </w:rPr>
      <w:pict>
        <v:shape id="图片 5" o:spid="_x0000_s2054" type="#_x0000_t75" alt="学科网 zxxk.com" style="width:0.05pt;height:0.05pt;margin-top:-20.75pt;margin-left:64.05pt;position:absolute;z-index:251661312" filled="f" stroked="f">
          <v:imagedata r:id="rId2" r:href="rId3" o:title=""/>
          <v:path o:extrusionok="f"/>
          <o:lock v:ext="edit" aspectratio="t"/>
        </v:shape>
      </w:pict>
    </w:r>
    <w:r>
      <w:rPr>
        <w:rFonts w:ascii="Times New Roman" w:eastAsia="宋体" w:hAnsi="Times New Roman" w:cs="Times New Roman" w:hint="eastAsia"/>
        <w:color w:val="FFFFFF"/>
        <w:kern w:val="0"/>
        <w:sz w:val="2"/>
        <w:szCs w:val="2"/>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Bdr>
        <w:bottom w:val="none" w:sz="0" w:space="1"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Header"/>
      <w:pBdr>
        <w:bottom w:val="none" w:sz="0" w:space="1" w:color="auto"/>
      </w:pBdr>
      <w:jc w:val="both"/>
    </w:pPr>
    <w:r>
      <w:rPr>
        <w:rFonts w:hint="eastAsia"/>
      </w:rPr>
      <w:t xml:space="preserve">班级：         姓名： </w:t>
    </w:r>
    <w:r>
      <w:drawing>
        <wp:anchor distT="0" distB="0" distL="114300" distR="114300" simplePos="0" relativeHeight="251658240" behindDoc="0" locked="0" layoutInCell="1" allowOverlap="1">
          <wp:simplePos x="0" y="0"/>
          <wp:positionH relativeFrom="column">
            <wp:posOffset>4457700</wp:posOffset>
          </wp:positionH>
          <wp:positionV relativeFrom="paragraph">
            <wp:posOffset>107315</wp:posOffset>
          </wp:positionV>
          <wp:extent cx="9525" cy="9525"/>
          <wp:effectExtent l="0" t="0" r="0" b="0"/>
          <wp:wrapNone/>
          <wp:docPr id="3" name="图片 4" descr="学科网 zxxk.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学科网 zxxk.com"/>
                  <pic:cNvPicPr>
                    <a:picLocks noChangeAspect="1"/>
                  </pic:cNvPicPr>
                </pic:nvPicPr>
                <pic:blipFill>
                  <a:blip xmlns:r="http://schemas.openxmlformats.org/officeDocument/2006/relationships" r:embed="rId1"/>
                  <a:stretch>
                    <a:fillRect/>
                  </a:stretch>
                </pic:blipFill>
                <pic:spPr>
                  <a:xfrm>
                    <a:off x="0" y="0"/>
                    <a:ext cx="9525" cy="9525"/>
                  </a:xfrm>
                  <a:prstGeom prst="rect">
                    <a:avLst/>
                  </a:prstGeom>
                  <a:noFill/>
                  <a:ln>
                    <a:noFill/>
                  </a:ln>
                </pic:spPr>
              </pic:pic>
            </a:graphicData>
          </a:graphic>
        </wp:anchor>
      </w:drawing>
    </w:r>
    <w:r>
      <w:rPr>
        <w:rFonts w:hint="eastAsia"/>
      </w:rPr>
      <w:t xml:space="preserve">                                                                 </w:t>
    </w:r>
    <w:r>
      <w:rPr>
        <w:rFonts w:ascii="楷体" w:eastAsia="楷体" w:hAnsi="楷体" w:cs="楷体" w:hint="eastAsia"/>
      </w:rPr>
      <w:t>必修二《经济与社会》易错易混</w:t>
    </w:r>
  </w:p>
  <w:p>
    <w:pPr>
      <w:pBdr>
        <w:bottom w:val="none" w:sz="0" w:space="1" w:color="auto"/>
      </w:pBdr>
      <w:snapToGrid w:val="0"/>
      <w:rPr>
        <w:rFonts w:ascii="Times New Roman" w:eastAsia="宋体" w:hAnsi="Times New Roman" w:cs="Times New Roman"/>
        <w:kern w:val="0"/>
        <w:sz w:val="2"/>
        <w:szCs w:val="2"/>
      </w:rPr>
    </w:pPr>
  </w:p>
  <w:p w:rsidR="004151FC">
    <w:pPr>
      <w:pBdr>
        <w:bottom w:val="none" w:sz="0" w:space="1" w:color="auto"/>
      </w:pBdr>
      <w:tabs>
        <w:tab w:val="clear" w:pos="4153"/>
        <w:tab w:val="clear" w:pos="8306"/>
      </w:tabs>
      <w:snapToGrid w:val="0"/>
      <w:rPr>
        <w:rFonts w:ascii="Times New Roman" w:eastAsia="宋体" w:hAnsi="Times New Roman" w:cs="Times New Roman"/>
        <w:kern w:val="0"/>
        <w:sz w:val="2"/>
        <w:szCs w:val="2"/>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9264" filled="f" stroked="f">
          <v:imagedata r:id="rId2" r:href="rId3"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93A2F6B5"/>
    <w:multiLevelType w:val="singleLevel"/>
    <w:tmpl w:val="93A2F6B5"/>
    <w:lvl w:ilvl="0">
      <w:start w:val="1"/>
      <w:numFmt w:val="bullet"/>
      <w:lvlText w:val=""/>
      <w:lvlJc w:val="left"/>
      <w:pPr>
        <w:ind w:left="420" w:hanging="420"/>
      </w:pPr>
      <w:rPr>
        <w:rFonts w:ascii="Wingdings" w:hAnsi="Wingdings" w:hint="default"/>
      </w:rPr>
    </w:lvl>
  </w:abstractNum>
  <w:abstractNum w:abstractNumId="1">
    <w:nsid w:val="E5201731"/>
    <w:multiLevelType w:val="singleLevel"/>
    <w:tmpl w:val="E5201731"/>
    <w:lvl w:ilvl="0">
      <w:start w:val="1"/>
      <w:numFmt w:val="bullet"/>
      <w:lvlText w:val=""/>
      <w:lvlJc w:val="left"/>
      <w:pPr>
        <w:ind w:left="420" w:hanging="420"/>
      </w:pPr>
      <w:rPr>
        <w:rFonts w:ascii="Wingdings" w:hAnsi="Wingdings" w:hint="default"/>
        <w:color w:val="000000" w:themeColor="text1"/>
        <w14:textFill>
          <w14:solidFill>
            <w14:schemeClr w14:val="tx1"/>
          </w14:solidFill>
        </w14:textFill>
      </w:rPr>
    </w:lvl>
  </w:abstractNum>
  <w:abstractNum w:abstractNumId="2">
    <w:nsid w:val="F3E1D66A"/>
    <w:multiLevelType w:val="singleLevel"/>
    <w:tmpl w:val="F3E1D66A"/>
    <w:lvl w:ilvl="0">
      <w:start w:val="1"/>
      <w:numFmt w:val="bullet"/>
      <w:lvlText w:val=""/>
      <w:lvlJc w:val="left"/>
      <w:pPr>
        <w:ind w:left="420" w:hanging="42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bordersDoNotSurroundHeader/>
  <w:bordersDoNotSurroundFooter/>
  <w:defaultTabStop w:val="420"/>
  <w:evenAndOddHeaders/>
  <w:drawingGridHorizontalSpacing w:val="106"/>
  <w:drawingGridVerticalSpacing w:val="159"/>
  <w:noPunctuationKerning/>
  <w:characterSpacingControl w:val="compressPunctuation"/>
  <w:compat>
    <w:spaceForUL/>
    <w:balanceSingleByteDoubleByteWidth/>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3227"/>
    <w:rsid w:val="0001360E"/>
    <w:rsid w:val="00041561"/>
    <w:rsid w:val="00051F46"/>
    <w:rsid w:val="000D38AA"/>
    <w:rsid w:val="000D7007"/>
    <w:rsid w:val="000E4A0D"/>
    <w:rsid w:val="00113952"/>
    <w:rsid w:val="00146953"/>
    <w:rsid w:val="001674C8"/>
    <w:rsid w:val="001E4B74"/>
    <w:rsid w:val="001F6E2B"/>
    <w:rsid w:val="00231627"/>
    <w:rsid w:val="0027067E"/>
    <w:rsid w:val="002771D2"/>
    <w:rsid w:val="002E56FE"/>
    <w:rsid w:val="00363227"/>
    <w:rsid w:val="00381852"/>
    <w:rsid w:val="003A49BA"/>
    <w:rsid w:val="0040388D"/>
    <w:rsid w:val="0040402F"/>
    <w:rsid w:val="004151FC"/>
    <w:rsid w:val="0047331D"/>
    <w:rsid w:val="00486104"/>
    <w:rsid w:val="004E5596"/>
    <w:rsid w:val="00500138"/>
    <w:rsid w:val="0056487D"/>
    <w:rsid w:val="00586387"/>
    <w:rsid w:val="00625697"/>
    <w:rsid w:val="006B77BA"/>
    <w:rsid w:val="006E0FC7"/>
    <w:rsid w:val="006E31E4"/>
    <w:rsid w:val="006E406D"/>
    <w:rsid w:val="0073008D"/>
    <w:rsid w:val="007E0BCC"/>
    <w:rsid w:val="0083186F"/>
    <w:rsid w:val="00846E90"/>
    <w:rsid w:val="0085328A"/>
    <w:rsid w:val="00877DC5"/>
    <w:rsid w:val="008D4C65"/>
    <w:rsid w:val="008F1322"/>
    <w:rsid w:val="009035F2"/>
    <w:rsid w:val="00913910"/>
    <w:rsid w:val="0095094A"/>
    <w:rsid w:val="009624A7"/>
    <w:rsid w:val="009C518D"/>
    <w:rsid w:val="00A54BC2"/>
    <w:rsid w:val="00AD6753"/>
    <w:rsid w:val="00B205AE"/>
    <w:rsid w:val="00B503AB"/>
    <w:rsid w:val="00B52162"/>
    <w:rsid w:val="00BC5AEB"/>
    <w:rsid w:val="00BF2518"/>
    <w:rsid w:val="00BF4AD7"/>
    <w:rsid w:val="00C02FC6"/>
    <w:rsid w:val="00C2613D"/>
    <w:rsid w:val="00CD3D3C"/>
    <w:rsid w:val="00CF2BD8"/>
    <w:rsid w:val="00D52F18"/>
    <w:rsid w:val="00DA1CB1"/>
    <w:rsid w:val="00DD0D58"/>
    <w:rsid w:val="00E61E89"/>
    <w:rsid w:val="010C35CB"/>
    <w:rsid w:val="012F2443"/>
    <w:rsid w:val="03183697"/>
    <w:rsid w:val="056E70EE"/>
    <w:rsid w:val="070E48A8"/>
    <w:rsid w:val="0A3208AE"/>
    <w:rsid w:val="0A886720"/>
    <w:rsid w:val="0C5C5C22"/>
    <w:rsid w:val="0D6B65B1"/>
    <w:rsid w:val="0DF01E97"/>
    <w:rsid w:val="0EA80536"/>
    <w:rsid w:val="0F5372FC"/>
    <w:rsid w:val="11976C8E"/>
    <w:rsid w:val="130C242D"/>
    <w:rsid w:val="13525B1D"/>
    <w:rsid w:val="13BA3E97"/>
    <w:rsid w:val="14832432"/>
    <w:rsid w:val="174A0190"/>
    <w:rsid w:val="181B3DD1"/>
    <w:rsid w:val="1AB5488E"/>
    <w:rsid w:val="1BDD25D5"/>
    <w:rsid w:val="1C0320AA"/>
    <w:rsid w:val="1C8E5E18"/>
    <w:rsid w:val="1FC3402A"/>
    <w:rsid w:val="1FC57DA2"/>
    <w:rsid w:val="217D7EF3"/>
    <w:rsid w:val="233E7E5D"/>
    <w:rsid w:val="252F29C3"/>
    <w:rsid w:val="26CD578F"/>
    <w:rsid w:val="277A3B68"/>
    <w:rsid w:val="2896759F"/>
    <w:rsid w:val="28B906C0"/>
    <w:rsid w:val="28EF14CA"/>
    <w:rsid w:val="29C76E0D"/>
    <w:rsid w:val="2C6922EB"/>
    <w:rsid w:val="2CEB4BC0"/>
    <w:rsid w:val="2D1063D5"/>
    <w:rsid w:val="2FF124EE"/>
    <w:rsid w:val="30BA4FD6"/>
    <w:rsid w:val="31451540"/>
    <w:rsid w:val="340412C7"/>
    <w:rsid w:val="34402562"/>
    <w:rsid w:val="3599165E"/>
    <w:rsid w:val="37225683"/>
    <w:rsid w:val="38CD7870"/>
    <w:rsid w:val="3A06128C"/>
    <w:rsid w:val="3B9F34AC"/>
    <w:rsid w:val="3BBF5CF3"/>
    <w:rsid w:val="3C623DA1"/>
    <w:rsid w:val="3DEC0798"/>
    <w:rsid w:val="3F5E7474"/>
    <w:rsid w:val="3FA96941"/>
    <w:rsid w:val="403E257D"/>
    <w:rsid w:val="40972C3D"/>
    <w:rsid w:val="451F1690"/>
    <w:rsid w:val="45316955"/>
    <w:rsid w:val="45FC3543"/>
    <w:rsid w:val="473A54E2"/>
    <w:rsid w:val="47745516"/>
    <w:rsid w:val="4DD54F9C"/>
    <w:rsid w:val="4E6B1717"/>
    <w:rsid w:val="4F813436"/>
    <w:rsid w:val="51F15F26"/>
    <w:rsid w:val="52666914"/>
    <w:rsid w:val="52BF2835"/>
    <w:rsid w:val="530D6D8F"/>
    <w:rsid w:val="54040192"/>
    <w:rsid w:val="5413312C"/>
    <w:rsid w:val="54C16083"/>
    <w:rsid w:val="582A3F3F"/>
    <w:rsid w:val="59451EBC"/>
    <w:rsid w:val="5A6C20FA"/>
    <w:rsid w:val="5A8969EA"/>
    <w:rsid w:val="5AC0324B"/>
    <w:rsid w:val="5C966047"/>
    <w:rsid w:val="5D2D075A"/>
    <w:rsid w:val="5DBF25A7"/>
    <w:rsid w:val="601405A5"/>
    <w:rsid w:val="60C26B4A"/>
    <w:rsid w:val="60C96909"/>
    <w:rsid w:val="60D45304"/>
    <w:rsid w:val="619D39D4"/>
    <w:rsid w:val="62492CE9"/>
    <w:rsid w:val="65674A25"/>
    <w:rsid w:val="677125F8"/>
    <w:rsid w:val="68332204"/>
    <w:rsid w:val="69117181"/>
    <w:rsid w:val="693B0F79"/>
    <w:rsid w:val="697D65C5"/>
    <w:rsid w:val="6BEE5558"/>
    <w:rsid w:val="6CB26586"/>
    <w:rsid w:val="6D0E2C4B"/>
    <w:rsid w:val="6E2B5772"/>
    <w:rsid w:val="70704639"/>
    <w:rsid w:val="71431459"/>
    <w:rsid w:val="720F7FD6"/>
    <w:rsid w:val="727F515C"/>
    <w:rsid w:val="739C3AEB"/>
    <w:rsid w:val="74DF0134"/>
    <w:rsid w:val="75B96BD7"/>
    <w:rsid w:val="764A5A81"/>
    <w:rsid w:val="771001D9"/>
    <w:rsid w:val="774B0411"/>
    <w:rsid w:val="77A45665"/>
    <w:rsid w:val="78340796"/>
    <w:rsid w:val="785E3A65"/>
    <w:rsid w:val="794F33AE"/>
    <w:rsid w:val="7A77503D"/>
    <w:rsid w:val="7AAF3974"/>
    <w:rsid w:val="7B0F74A4"/>
    <w:rsid w:val="7BC47A10"/>
    <w:rsid w:val="7C0513C0"/>
    <w:rsid w:val="7EFC65E6"/>
    <w:rsid w:val="7F376DBE"/>
    <w:rsid w:val="7FD6030A"/>
  </w:rsids>
  <w:docVars>
    <w:docVar w:name="commondata" w:val="eyJoZGlkIjoiNDEyNGJhMTY3ZmFjM2MzMjUxMGI3ZmU5YzI3ODI1OWU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semiHidden="0" w:uiPriority="0" w:unhideWhenUsed="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qFormat="1"/>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unhideWhenUsed="0" w:qFormat="1"/>
    <w:lsdException w:name="E-mail Signature"/>
    <w:lsdException w:name="Normal (Web)" w:uiPriority="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0"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BodyText"/>
    <w:qFormat/>
    <w:pPr>
      <w:widowControl w:val="0"/>
      <w:jc w:val="both"/>
    </w:pPr>
    <w:rPr>
      <w:rFonts w:asciiTheme="minorHAnsi" w:eastAsiaTheme="minorEastAsia" w:hAnsiTheme="minorHAnsi" w:cstheme="minorBidi"/>
      <w:kern w:val="2"/>
      <w:sz w:val="21"/>
      <w:szCs w:val="22"/>
      <w:lang w:val="en-US" w:eastAsia="zh-CN" w:bidi="ar-SA"/>
    </w:rPr>
  </w:style>
  <w:style w:type="paragraph" w:styleId="Heading1">
    <w:name w:val="heading 1"/>
    <w:basedOn w:val="Normal"/>
    <w:next w:val="Normal"/>
    <w:qFormat/>
    <w:pPr>
      <w:keepNext/>
      <w:keepLines/>
      <w:spacing w:before="340" w:after="330" w:line="578" w:lineRule="auto"/>
      <w:outlineLvl w:val="0"/>
    </w:pPr>
    <w:rPr>
      <w:b/>
      <w:bCs/>
      <w:kern w:val="44"/>
      <w:sz w:val="44"/>
      <w:szCs w:val="4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BodyText">
    <w:name w:val="Body Text"/>
    <w:basedOn w:val="Normal"/>
    <w:next w:val="PlainText"/>
    <w:qFormat/>
    <w:pPr>
      <w:spacing w:line="600" w:lineRule="exact"/>
    </w:pPr>
    <w:rPr>
      <w:rFonts w:ascii="Times New Roman" w:hAnsi="Times New Roman"/>
      <w:sz w:val="18"/>
      <w:szCs w:val="24"/>
    </w:rPr>
  </w:style>
  <w:style w:type="paragraph" w:styleId="PlainText">
    <w:name w:val="Plain Text"/>
    <w:basedOn w:val="Normal"/>
    <w:qFormat/>
    <w:rPr>
      <w:rFonts w:ascii="宋体" w:hAnsi="Courier New" w:cs="Courier New"/>
      <w:szCs w:val="21"/>
    </w:rPr>
  </w:style>
  <w:style w:type="paragraph" w:styleId="TOC3">
    <w:name w:val="toc 3"/>
    <w:basedOn w:val="Normal"/>
    <w:next w:val="Normal"/>
    <w:uiPriority w:val="39"/>
    <w:unhideWhenUsed/>
    <w:qFormat/>
    <w:pPr>
      <w:widowControl/>
      <w:spacing w:after="100" w:line="259" w:lineRule="auto"/>
      <w:ind w:left="440"/>
      <w:jc w:val="left"/>
    </w:pPr>
    <w:rPr>
      <w:rFonts w:cs="Times New Roman"/>
      <w:kern w:val="0"/>
      <w:sz w:val="22"/>
    </w:rPr>
  </w:style>
  <w:style w:type="paragraph" w:styleId="BalloonText">
    <w:name w:val="Balloon Text"/>
    <w:basedOn w:val="Normal"/>
    <w:link w:val="a1"/>
    <w:uiPriority w:val="99"/>
    <w:semiHidden/>
    <w:unhideWhenUsed/>
    <w:qFormat/>
    <w:rPr>
      <w:sz w:val="18"/>
      <w:szCs w:val="18"/>
    </w:rPr>
  </w:style>
  <w:style w:type="paragraph" w:styleId="Footer">
    <w:name w:val="footer"/>
    <w:basedOn w:val="Normal"/>
    <w:link w:val="a0"/>
    <w:uiPriority w:val="99"/>
    <w:unhideWhenUsed/>
    <w:qFormat/>
    <w:pPr>
      <w:tabs>
        <w:tab w:val="center" w:pos="4153"/>
        <w:tab w:val="right" w:pos="8306"/>
      </w:tabs>
      <w:snapToGrid w:val="0"/>
      <w:jc w:val="left"/>
    </w:pPr>
    <w:rPr>
      <w:sz w:val="18"/>
      <w:szCs w:val="18"/>
    </w:rPr>
  </w:style>
  <w:style w:type="paragraph" w:styleId="Header">
    <w:name w:val="header"/>
    <w:basedOn w:val="Normal"/>
    <w:link w:val="a"/>
    <w:uiPriority w:val="99"/>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unhideWhenUsed/>
    <w:qFormat/>
    <w:pPr>
      <w:widowControl/>
      <w:spacing w:after="100" w:line="259" w:lineRule="auto"/>
      <w:jc w:val="left"/>
    </w:pPr>
    <w:rPr>
      <w:rFonts w:cs="Times New Roman"/>
      <w:kern w:val="0"/>
      <w:sz w:val="22"/>
    </w:rPr>
  </w:style>
  <w:style w:type="paragraph" w:styleId="TOC2">
    <w:name w:val="toc 2"/>
    <w:basedOn w:val="Normal"/>
    <w:next w:val="Normal"/>
    <w:uiPriority w:val="39"/>
    <w:unhideWhenUsed/>
    <w:qFormat/>
    <w:pPr>
      <w:widowControl/>
      <w:spacing w:after="100" w:line="259" w:lineRule="auto"/>
      <w:ind w:left="220"/>
      <w:jc w:val="left"/>
    </w:pPr>
    <w:rPr>
      <w:rFonts w:cs="Times New Roman"/>
      <w:kern w:val="0"/>
      <w:sz w:val="22"/>
    </w:rPr>
  </w:style>
  <w:style w:type="paragraph" w:styleId="NormalWeb">
    <w:name w:val="Normal (Web)"/>
    <w:basedOn w:val="Normal"/>
    <w:semiHidden/>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Hyperlink">
    <w:name w:val="Hyperlink"/>
    <w:basedOn w:val="DefaultParagraphFont"/>
    <w:uiPriority w:val="99"/>
    <w:semiHidden/>
    <w:unhideWhenUsed/>
    <w:qFormat/>
    <w:rPr>
      <w:color w:val="0000FF"/>
      <w:u w:val="single"/>
    </w:rPr>
  </w:style>
  <w:style w:type="character" w:customStyle="1" w:styleId="a">
    <w:name w:val="页眉 字符"/>
    <w:basedOn w:val="DefaultParagraphFont"/>
    <w:link w:val="Header"/>
    <w:uiPriority w:val="99"/>
    <w:qFormat/>
    <w:rPr>
      <w:sz w:val="18"/>
      <w:szCs w:val="18"/>
    </w:rPr>
  </w:style>
  <w:style w:type="character" w:customStyle="1" w:styleId="a0">
    <w:name w:val="页脚 字符"/>
    <w:basedOn w:val="DefaultParagraphFont"/>
    <w:link w:val="Footer"/>
    <w:uiPriority w:val="99"/>
    <w:qFormat/>
    <w:rPr>
      <w:sz w:val="18"/>
      <w:szCs w:val="18"/>
    </w:rPr>
  </w:style>
  <w:style w:type="character" w:customStyle="1" w:styleId="a1">
    <w:name w:val="批注框文本 字符"/>
    <w:basedOn w:val="DefaultParagraphFont"/>
    <w:link w:val="BalloonText"/>
    <w:uiPriority w:val="99"/>
    <w:semiHidden/>
    <w:qFormat/>
    <w:rPr>
      <w:sz w:val="18"/>
      <w:szCs w:val="18"/>
    </w:rPr>
  </w:style>
  <w:style w:type="paragraph" w:customStyle="1" w:styleId="TOC10">
    <w:name w:val="TOC 标题1"/>
    <w:basedOn w:val="Heading1"/>
    <w:next w:val="Normal"/>
    <w:uiPriority w:val="39"/>
    <w:unhideWhenUsed/>
    <w:qFormat/>
    <w:pPr>
      <w:widowControl/>
      <w:spacing w:before="240" w:after="0" w:line="259" w:lineRule="auto"/>
      <w:jc w:val="left"/>
      <w:outlineLvl w:val="9"/>
    </w:pPr>
    <w:rPr>
      <w:rFonts w:asciiTheme="majorHAnsi" w:eastAsiaTheme="majorEastAsia" w:hAnsiTheme="majorHAnsi" w:cstheme="majorBidi"/>
      <w:b w:val="0"/>
      <w:bCs w:val="0"/>
      <w:color w:val="376092" w:themeColor="accent1" w:themeShade="BF"/>
      <w:kern w:val="0"/>
      <w:sz w:val="32"/>
      <w:szCs w:val="32"/>
    </w:rPr>
  </w:style>
  <w:style w:type="paragraph" w:styleId="ListParagraph">
    <w:name w:val="List Paragraph"/>
    <w:basedOn w:val="Normal"/>
    <w:uiPriority w:val="34"/>
    <w:qFormat/>
    <w:pPr>
      <w:ind w:firstLine="420" w:firstLineChars="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footer" Target="footer1.xml" /><Relationship Id="rId9" Type="http://schemas.openxmlformats.org/officeDocument/2006/relationships/theme" Target="theme/theme1.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media/image3.png" /><Relationship Id="rId3" Type="http://schemas.openxmlformats.org/officeDocument/2006/relationships/image" Target="file:///D:\qq&#25991;&#20214;\712321467\Image\C2C\Image2\%7B75232B38-A165-1FB7-499C-2E1C792CACB5%7D.png" TargetMode="External" /></Relationships>
</file>

<file path=word/_rels/header2.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media/image3.png" /><Relationship Id="rId3"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Pages>
  <Words>588</Words>
  <Characters>3357</Characters>
  <Application>Microsoft Office Word</Application>
  <DocSecurity>0</DocSecurity>
  <Lines>27</Lines>
  <Paragraphs>7</Paragraphs>
  <ScaleCrop>false</ScaleCrop>
  <Company/>
  <LinksUpToDate>false</LinksUpToDate>
  <CharactersWithSpaces>3938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高三015</dc:creator>
  <cp:lastModifiedBy>空</cp:lastModifiedBy>
  <cp:revision>32</cp:revision>
  <dcterms:created xsi:type="dcterms:W3CDTF">2019-12-17T03:45:00Z</dcterms:created>
  <dcterms:modified xsi:type="dcterms:W3CDTF">2024-12-05T00:40:39Z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