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C5E0CA0">
      <w:pPr>
        <w:adjustRightInd w:val="0"/>
        <w:spacing w:after="0" w:before="0" w:line="360" w:lineRule="auto"/>
        <w:ind w:firstLine="0" w:left="315"/>
        <w:jc w:val="center"/>
        <w:textAlignment w:val="center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drawing>
          <wp:anchor allowOverlap="1" behindDoc="0" layoutInCell="1" locked="0" relativeHeight="251658240" simplePos="0">
            <wp:simplePos x="0" y="0"/>
            <wp:positionH relativeFrom="page">
              <wp:posOffset>12636500</wp:posOffset>
            </wp:positionH>
            <wp:positionV relativeFrom="topMargin">
              <wp:posOffset>11163300</wp:posOffset>
            </wp:positionV>
            <wp:extent cx="279400" cy="2921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 w:hint="eastAsia"/>
          <w:sz w:val="32"/>
          <w:szCs w:val="32"/>
        </w:rPr>
        <w:t>2025年1月浙江省普通高校招生</w:t>
      </w:r>
      <w:r>
        <w:rPr>
          <w:rFonts w:eastAsia="黑体" w:hint="eastAsia"/>
          <w:sz w:val="32"/>
          <w:szCs w:val="32"/>
          <w:lang w:eastAsia="zh-CN" w:val="en-US"/>
        </w:rPr>
        <w:t>学业水平</w:t>
      </w:r>
      <w:r>
        <w:rPr>
          <w:rFonts w:eastAsia="黑体" w:hint="eastAsia"/>
          <w:sz w:val="32"/>
          <w:szCs w:val="32"/>
        </w:rPr>
        <w:t>考试</w:t>
      </w:r>
    </w:p>
    <w:p w14:paraId="0ECC3ADC">
      <w:pPr>
        <w:adjustRightInd w:val="0"/>
        <w:spacing w:after="0" w:before="0" w:line="360" w:lineRule="auto"/>
        <w:ind w:firstLine="0" w:left="315"/>
        <w:jc w:val="center"/>
        <w:textAlignment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  <w:lang w:eastAsia="zh-CN" w:val="en-US"/>
        </w:rPr>
        <w:t>政治</w:t>
      </w:r>
      <w:r>
        <w:rPr>
          <w:rFonts w:eastAsia="黑体" w:hint="eastAsia"/>
          <w:sz w:val="36"/>
          <w:szCs w:val="36"/>
        </w:rPr>
        <w:t>仿真模拟试卷</w:t>
      </w:r>
      <w:r>
        <w:rPr>
          <w:rFonts w:eastAsia="黑体"/>
          <w:sz w:val="36"/>
          <w:szCs w:val="36"/>
        </w:rPr>
        <w:t>0</w:t>
      </w:r>
      <w:r>
        <w:rPr>
          <w:rFonts w:eastAsia="黑体" w:hint="eastAsia"/>
          <w:sz w:val="36"/>
          <w:szCs w:val="36"/>
          <w:lang w:eastAsia="zh-CN" w:val="en-US"/>
        </w:rPr>
        <w:t>2</w:t>
      </w:r>
      <w:bookmarkStart w:id="0" w:name="_GoBack"/>
      <w:bookmarkEnd w:id="0"/>
      <w:r>
        <w:rPr>
          <w:rFonts w:eastAsia="黑体"/>
          <w:sz w:val="36"/>
          <w:szCs w:val="36"/>
        </w:rPr>
        <w:t>·参考答案</w:t>
      </w:r>
    </w:p>
    <w:p w14:paraId="6F76DBBB">
      <w:pPr>
        <w:adjustRightInd w:val="0"/>
        <w:spacing w:after="0" w:before="0" w:line="360" w:lineRule="auto"/>
        <w:ind w:firstLine="0" w:left="315"/>
        <w:jc w:val="center"/>
        <w:textAlignment w:val="center"/>
        <w:rPr>
          <w:b/>
          <w:sz w:val="32"/>
          <w:szCs w:val="32"/>
          <w:highlight w:val="none"/>
        </w:rPr>
      </w:pPr>
      <w:r>
        <w:rPr>
          <w:b/>
          <w:sz w:val="32"/>
          <w:szCs w:val="32"/>
          <w:highlight w:val="none"/>
        </w:rPr>
        <w:t>第I卷</w:t>
      </w:r>
    </w:p>
    <w:p w14:paraId="13A8F1A6">
      <w:pPr>
        <w:spacing w:after="0" w:before="0" w:line="360" w:lineRule="auto"/>
        <w:ind w:firstLine="0" w:left="0"/>
        <w:jc w:val="left"/>
        <w:textAlignment w:val="center"/>
        <w:rPr>
          <w:rFonts w:ascii="宋体" w:cs="宋体" w:eastAsia="宋体" w:hAnsi="宋体" w:hint="default"/>
          <w:b/>
          <w:sz w:val="24"/>
          <w:szCs w:val="32"/>
          <w:highlight w:val="yellow"/>
          <w:lang w:eastAsia="zh-CN" w:val="en-US"/>
        </w:rPr>
      </w:pPr>
      <w:r>
        <w:rPr>
          <w:rFonts w:ascii="Times New Roman" w:cs="Times New Roman" w:hAnsi="Times New Roman"/>
          <w:b/>
          <w:sz w:val="24"/>
          <w:szCs w:val="28"/>
          <w:highlight w:val="none"/>
        </w:rPr>
        <w:t>一、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判断题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：本大题共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3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小题，每小题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1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分，共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3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分。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判断下列说法是否正确，正确的请在答题卡上相应题号内写T，错误的请在答题卡上相应题号内写F.</w:t>
      </w:r>
    </w:p>
    <w:p w14:paraId="0E7873E4">
      <w:pPr>
        <w:numPr>
          <w:ilvl w:val="0"/>
          <w:numId w:val="1"/>
        </w:numPr>
        <w:spacing w:after="0" w:before="0" w:line="360" w:lineRule="auto"/>
        <w:ind w:firstLine="0" w:left="315"/>
        <w:rPr>
          <w:rFonts w:hint="eastAsia"/>
          <w:lang w:eastAsia="zh-CN" w:val="en-US"/>
        </w:rPr>
      </w:pPr>
      <w:r>
        <w:rPr>
          <w:rFonts w:hint="eastAsia"/>
          <w:lang w:eastAsia="zh-CN" w:val="en-US"/>
        </w:rPr>
        <w:t xml:space="preserve"> F   2.    F    3.  T</w:t>
      </w:r>
    </w:p>
    <w:p w14:paraId="32BB4E39">
      <w:pPr>
        <w:numPr>
          <w:ilvl w:val="0"/>
          <w:numId w:val="2"/>
        </w:numPr>
        <w:spacing w:after="0" w:before="0" w:line="360" w:lineRule="auto"/>
        <w:ind w:firstLine="0" w:left="315"/>
        <w:jc w:val="left"/>
        <w:textAlignment w:val="center"/>
        <w:rPr>
          <w:rFonts w:ascii="Times New Roman" w:cs="Times New Roman" w:hAnsi="Times New Roman"/>
          <w:b/>
          <w:sz w:val="24"/>
          <w:szCs w:val="28"/>
          <w:highlight w:val="none"/>
        </w:rPr>
      </w:pPr>
      <w:r>
        <w:rPr>
          <w:rFonts w:ascii="Times New Roman" w:cs="Times New Roman" w:hAnsi="Times New Roman"/>
          <w:b/>
          <w:sz w:val="24"/>
          <w:szCs w:val="28"/>
          <w:highlight w:val="none"/>
        </w:rPr>
        <w:t>选择题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一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：本大题共</w:t>
      </w:r>
      <w:r>
        <w:rPr>
          <w:rFonts w:ascii="Times New Roman" w:cs="Times New Roman" w:hAnsi="Times New Roman" w:hint="eastAsia"/>
          <w:b/>
          <w:sz w:val="24"/>
          <w:szCs w:val="28"/>
          <w:highlight w:val="none"/>
          <w:lang w:eastAsia="zh-CN" w:val="en-US"/>
        </w:rPr>
        <w:t>1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0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小题，每小题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2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分，共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20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分。在每小题给出的四个选项中，只有一项是符合题目要求的。</w:t>
      </w:r>
    </w:p>
    <w:p w14:paraId="3985C0C1">
      <w:pPr>
        <w:numPr>
          <w:ilvl w:val="0"/>
          <w:numId w:val="0"/>
        </w:numPr>
        <w:spacing w:after="0" w:before="0" w:line="360" w:lineRule="auto"/>
        <w:ind w:firstLine="0" w:left="0" w:leftChars="0"/>
        <w:jc w:val="left"/>
        <w:textAlignment w:val="center"/>
        <w:rPr>
          <w:rFonts w:ascii="Times New Roman" w:cs="Times New Roman" w:hAnsi="Times New Roman"/>
          <w:b/>
          <w:sz w:val="24"/>
          <w:szCs w:val="28"/>
          <w:highlight w:val="none"/>
        </w:rPr>
      </w:pP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三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、选择题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二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：本大题共</w:t>
      </w:r>
      <w:r>
        <w:rPr>
          <w:rFonts w:ascii="Times New Roman" w:cs="Times New Roman" w:hAnsi="Times New Roman" w:hint="eastAsia"/>
          <w:b/>
          <w:sz w:val="24"/>
          <w:szCs w:val="28"/>
          <w:highlight w:val="none"/>
          <w:lang w:eastAsia="zh-CN" w:val="en-US"/>
        </w:rPr>
        <w:t>1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5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小题，每小题3分，共</w:t>
      </w:r>
      <w:r>
        <w:rPr>
          <w:rFonts w:ascii="Times New Roman" w:cs="Times New Roman" w:hAnsi="Times New Roman" w:hint="eastAsia"/>
          <w:b/>
          <w:sz w:val="24"/>
          <w:szCs w:val="28"/>
          <w:highlight w:val="none"/>
          <w:lang w:eastAsia="zh-CN" w:val="en-US"/>
        </w:rPr>
        <w:t>4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5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分。在每小题给出的四个选项中，只有一项是符合题目要求的。</w:t>
      </w:r>
    </w:p>
    <w:p w14:paraId="1393F7B8">
      <w:pPr>
        <w:numPr>
          <w:ilvl w:val="0"/>
          <w:numId w:val="0"/>
        </w:numPr>
        <w:spacing w:after="0" w:before="0" w:line="360" w:lineRule="auto"/>
        <w:ind w:firstLine="0" w:left="315"/>
        <w:rPr>
          <w:rFonts w:hint="eastAsia"/>
          <w:lang w:eastAsia="zh-CN" w:val="en-US"/>
        </w:rPr>
      </w:pPr>
    </w:p>
    <w:tbl>
      <w:tblPr>
        <w:tblStyle w:val="TableNormal"/>
        <w:tblW w:type="pct" w:w="5000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06"/>
      </w:tblGrid>
      <w:tr w14:paraId="520191EF">
        <w:tblPrEx>
          <w:tblW w:type="pct" w:w="5000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FD0BA5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3E0A03D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7E6C45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B14625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597CF5E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6BD9901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57DCF84E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C918FCC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10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176DBC3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50B6103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12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A9DF1A7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13</w:t>
            </w:r>
          </w:p>
        </w:tc>
      </w:tr>
      <w:tr w14:paraId="1B4BA740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5DED288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6C0B4F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default"/>
                <w:b w:val="0"/>
                <w:i w:val="0"/>
                <w:color w:val="000000"/>
                <w:sz w:val="21"/>
                <w:lang w:eastAsia="zh-CN" w:val="en-US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C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2A79C22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52C1D33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0C8E745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0391D2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24A0EB0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5AD9D8BF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A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03B268A3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53742FED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583C090C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</w:tr>
      <w:tr w14:paraId="0000E6E7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54459ED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9672042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14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0606350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15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3E9A5F7C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16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DB04EE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17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9DF63A8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18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96B5A84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19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ECD49F5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20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B98C35F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21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B5FA365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22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6AE0051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23</w:t>
            </w:r>
          </w:p>
        </w:tc>
      </w:tr>
      <w:tr w14:paraId="5CF71ADF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C48A1AE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596D420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394BD2AF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C6D397C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4F39187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E128312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9041787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47BC8E3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6B9DE3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B3795E7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A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878FDAF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</w:tr>
      <w:tr w14:paraId="5E1B0D1F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F8B65C9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5AA7E9E4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24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B32CFAE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25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F43274A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26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3B5A8E9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27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F7DEBC4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>28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10C7A60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5CB19E31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3EF91CA2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1052AC9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0CB11C0F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2C33C407">
        <w:tblPrEx>
          <w:tblW w:type="pct" w:w="5000"/>
          <w:jc w:val="center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13E61D22">
            <w:pPr>
              <w:spacing w:after="0" w:before="0" w:line="288" w:lineRule="auto"/>
              <w:ind w:firstLine="0" w:left="0" w:right="0"/>
              <w:jc w:val="center"/>
              <w:textAlignment w:val="center"/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C4B907B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A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8052A84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B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9E3CAFC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A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7586A5AA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C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063D2DE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 w:hint="eastAsia"/>
                <w:b w:val="0"/>
                <w:i w:val="0"/>
                <w:color w:val="000000"/>
                <w:sz w:val="21"/>
                <w:lang w:eastAsia="zh-CN"/>
              </w:rPr>
            </w:pPr>
            <w:r>
              <w:rPr>
                <w:rFonts w:ascii="宋体" w:cs="宋体" w:hAnsi="宋体" w:hint="eastAsia"/>
                <w:b w:val="0"/>
                <w:i w:val="0"/>
                <w:color w:val="000000"/>
                <w:sz w:val="21"/>
                <w:lang w:eastAsia="zh-CN" w:val="en-US"/>
              </w:rPr>
              <w:t>A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2FC60B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6AAF904C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700B666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219A2680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type="pct" w:w="454"/>
            <w:tcMar>
              <w:top w:type="dxa" w:w="0"/>
              <w:bottom w:type="dxa" w:w="0"/>
            </w:tcMar>
            <w:vAlign w:val="center"/>
          </w:tcPr>
          <w:p w14:paraId="4C8AC5B0">
            <w:pPr>
              <w:spacing w:after="0" w:before="0" w:line="288" w:lineRule="auto"/>
              <w:ind w:firstLine="0" w:left="0" w:right="0"/>
              <w:jc w:val="left"/>
              <w:textAlignment w:val="center"/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cs="宋体" w:eastAsia="宋体" w:hAnsi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7AB4FEB5">
      <w:pPr>
        <w:spacing w:after="0" w:before="0" w:line="360" w:lineRule="auto"/>
        <w:ind w:firstLine="3520" w:firstLineChars="800" w:left="315"/>
        <w:jc w:val="left"/>
        <w:textAlignment w:val="center"/>
        <w:rPr>
          <w:rFonts w:ascii="Times New Roman" w:cs="Times New Roman" w:hAnsi="Times New Roman"/>
          <w:sz w:val="44"/>
          <w:szCs w:val="48"/>
        </w:rPr>
      </w:pPr>
      <w:r>
        <w:rPr>
          <w:rFonts w:ascii="Times New Roman" w:cs="Times New Roman" w:hAnsi="Times New Roman"/>
          <w:sz w:val="44"/>
          <w:szCs w:val="48"/>
        </w:rPr>
        <w:t>第Ⅱ卷</w:t>
      </w:r>
    </w:p>
    <w:p w14:paraId="3E3DFAAF">
      <w:pPr>
        <w:spacing w:after="0" w:before="0" w:line="360" w:lineRule="auto"/>
        <w:ind w:firstLine="0" w:left="0"/>
        <w:jc w:val="left"/>
        <w:textAlignment w:val="center"/>
        <w:rPr>
          <w:rFonts w:ascii="Times New Roman" w:cs="Times New Roman" w:hAnsi="Times New Roman" w:hint="eastAsia"/>
          <w:sz w:val="44"/>
          <w:szCs w:val="48"/>
          <w:lang w:eastAsia="zh-CN" w:val="en-US"/>
        </w:rPr>
      </w:pPr>
      <w:r>
        <w:rPr>
          <w:rFonts w:cs="Times New Roman" w:hint="eastAsia"/>
          <w:b/>
          <w:bCs/>
          <w:sz w:val="24"/>
          <w:szCs w:val="24"/>
          <w:highlight w:val="none"/>
          <w:lang w:eastAsia="zh-CN" w:val="en-US"/>
        </w:rPr>
        <w:t>四</w:t>
      </w:r>
      <w:r>
        <w:rPr>
          <w:rFonts w:ascii="Times New Roman" w:cs="Times New Roman" w:hAnsi="Times New Roman"/>
          <w:b/>
          <w:bCs/>
          <w:sz w:val="24"/>
          <w:szCs w:val="24"/>
          <w:highlight w:val="none"/>
        </w:rPr>
        <w:t>、非选择题：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本大题共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2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小题，共</w:t>
      </w:r>
      <w:r>
        <w:rPr>
          <w:rFonts w:cs="Times New Roman" w:hint="eastAsia"/>
          <w:b/>
          <w:sz w:val="24"/>
          <w:szCs w:val="28"/>
          <w:highlight w:val="none"/>
          <w:lang w:eastAsia="zh-CN" w:val="en-US"/>
        </w:rPr>
        <w:t>3</w:t>
      </w:r>
      <w:r>
        <w:rPr>
          <w:rFonts w:ascii="Times New Roman" w:cs="Times New Roman" w:hAnsi="Times New Roman" w:hint="eastAsia"/>
          <w:b/>
          <w:sz w:val="24"/>
          <w:szCs w:val="28"/>
          <w:highlight w:val="none"/>
          <w:lang w:eastAsia="zh-CN" w:val="en-US"/>
        </w:rPr>
        <w:t>2</w:t>
      </w:r>
      <w:r>
        <w:rPr>
          <w:rFonts w:ascii="Times New Roman" w:cs="Times New Roman" w:hAnsi="Times New Roman"/>
          <w:b/>
          <w:sz w:val="24"/>
          <w:szCs w:val="28"/>
          <w:highlight w:val="none"/>
        </w:rPr>
        <w:t>分。</w:t>
      </w:r>
    </w:p>
    <w:p w14:paraId="55A275E9">
      <w:pPr>
        <w:shd w:color="auto" w:fill="auto" w:val="clear"/>
        <w:spacing w:after="0" w:before="0" w:line="360" w:lineRule="auto"/>
        <w:ind w:hanging="420" w:left="420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lang w:eastAsia="zh-CN" w:val="en-US"/>
        </w:rPr>
        <w:t>29.</w:t>
      </w:r>
      <w:r>
        <w:rPr>
          <w:rFonts w:ascii="Times New Roman" w:cs="Times New Roman" w:hAnsi="Times New Roman"/>
          <w:color w:val="auto"/>
        </w:rPr>
        <w:t>【答案】</w:t>
      </w:r>
      <w:r>
        <w:rPr>
          <w:color w:val="auto"/>
          <w:sz w:val="21"/>
        </w:rPr>
        <w:t>(1)① 坚持党的集中统一领导：党中央作出 “实施科技强军战略、突破关键核心技术” 的重大决策，成立中央科技委员会统筹协调，体现了中国共产党总揽全局、协调各方的领导核心作用，这是中国特色社会主义制度的最大优势。</w:t>
      </w:r>
      <w:r>
        <w:rPr>
          <w:rFonts w:hint="eastAsia"/>
          <w:color w:val="auto"/>
          <w:lang w:eastAsia="zh-CN" w:val="en-US"/>
        </w:rPr>
        <w:t>(2分）</w:t>
      </w:r>
    </w:p>
    <w:p w14:paraId="2C08D838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 xml:space="preserve">② 发挥社会主义集中力量办大事的制度优势：歼-20 研发团队汇聚200多家单位的科研力量，实现技术、人才、资源的高效整合，彰显了我国能够集中力量攻克关键核心技术的制度优势。 </w:t>
      </w:r>
      <w:r>
        <w:rPr>
          <w:rFonts w:hint="eastAsia"/>
          <w:color w:val="auto"/>
          <w:lang w:eastAsia="zh-CN" w:val="en-US"/>
        </w:rPr>
        <w:t>(2分）</w:t>
      </w:r>
    </w:p>
    <w:p w14:paraId="28065B44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③ 发挥中国共产党党员的先锋模范作用：东风-41 研发团队中的共产党员坚守科研一线、攻克技术难题，以实际行动诠释了中国共产党人的初心和使命，体现了党的先进性和纯洁性，为科研攻关提供了坚强的政治保证和组织保证。</w:t>
      </w:r>
      <w:r>
        <w:rPr>
          <w:rFonts w:hint="eastAsia"/>
          <w:color w:val="auto"/>
          <w:lang w:eastAsia="zh-CN" w:val="en-US"/>
        </w:rPr>
        <w:t>(2分）</w:t>
      </w:r>
    </w:p>
    <w:p w14:paraId="62B79D6A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(2)答案示例：抗战精神是中国人民弥足珍贵的精神财富。新时代推进中国式现代化，要从抗战精神中汲取团结奋斗、攻坚克难、爱国奉献等力量：</w:t>
      </w:r>
      <w:r>
        <w:rPr>
          <w:rFonts w:hint="eastAsia"/>
          <w:color w:val="auto"/>
          <w:lang w:eastAsia="zh-CN" w:val="en-US"/>
        </w:rPr>
        <w:t>(1分）</w:t>
      </w:r>
    </w:p>
    <w:p w14:paraId="6804723E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 xml:space="preserve">①弘扬斗争精神，增强攻坚克难的意志。面对中国式现代化进程中的风险挑战，需发扬抗战精神中不畏强敌、血战到底的坚韧品格。 </w:t>
      </w:r>
      <w:r>
        <w:rPr>
          <w:rFonts w:hint="eastAsia"/>
          <w:color w:val="auto"/>
          <w:lang w:eastAsia="zh-CN" w:val="en-US"/>
        </w:rPr>
        <w:t>(2分）</w:t>
      </w:r>
    </w:p>
    <w:p w14:paraId="5D0DC7EE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②凝聚民族合力，团结奋斗共创复兴伟业。抗战胜利依靠全民同心，新时代推进共同富裕、高质量发展仍需调动全体人民积极性，筑牢命运共同体意识。</w:t>
      </w:r>
      <w:r>
        <w:rPr>
          <w:rFonts w:hint="eastAsia"/>
          <w:color w:val="auto"/>
          <w:lang w:eastAsia="zh-CN" w:val="en-US"/>
        </w:rPr>
        <w:t>(2分）</w:t>
      </w:r>
    </w:p>
    <w:p w14:paraId="6521A282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③践行爱国精神，把个人理想融入国家发展大局，为强国建设、民族复兴贡献力量。</w:t>
      </w:r>
      <w:r>
        <w:rPr>
          <w:rFonts w:hint="eastAsia"/>
          <w:color w:val="auto"/>
          <w:lang w:eastAsia="zh-CN" w:val="en-US"/>
        </w:rPr>
        <w:t>(2分）</w:t>
      </w:r>
    </w:p>
    <w:p w14:paraId="7A28BA3E">
      <w:pPr>
        <w:shd w:color="auto" w:fill="auto" w:val="clear"/>
        <w:spacing w:after="0" w:before="0" w:line="360" w:lineRule="auto"/>
        <w:ind w:hanging="420" w:left="420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lang w:eastAsia="zh-CN" w:val="en-US"/>
        </w:rPr>
        <w:t>30.</w:t>
      </w:r>
      <w:r>
        <w:rPr>
          <w:rFonts w:ascii="Times New Roman" w:cs="Times New Roman" w:hAnsi="Times New Roman"/>
          <w:color w:val="auto"/>
        </w:rPr>
        <w:t>【答案】</w:t>
      </w:r>
      <w:r>
        <w:rPr>
          <w:color w:val="auto"/>
          <w:sz w:val="21"/>
        </w:rPr>
        <w:t>(1)①旅游方式的丰富，扩大了消费需求，释放了内需潜力，拉动经济增长。②科技赋能旅游业，推动产业创新升级，深化供给侧结构性改革。</w:t>
      </w:r>
    </w:p>
    <w:p w14:paraId="329F4914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③构建农业与文旅深度融合的产业体系，统筹城乡发展和区域协调发展，推动乡村振兴。④畅通国内大循环，构建新发展格局，助推经济高质量发展。</w:t>
      </w:r>
      <w:r>
        <w:rPr>
          <w:rFonts w:hint="eastAsia"/>
          <w:color w:val="auto"/>
          <w:lang w:eastAsia="zh-CN" w:val="en-US"/>
        </w:rPr>
        <w:t>(每点2分，满分6分）</w:t>
      </w:r>
    </w:p>
    <w:p w14:paraId="02EB1F1C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(2)①《通知》从立法、执法等方面为监管提供依据，实现依法监管，提升旅游业治理体系和能力现代化水平。</w:t>
      </w:r>
    </w:p>
    <w:p w14:paraId="56367E94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②坚持民主集中制原则，统筹协调各部门工作，实现立体监管、科学监管，形成监管合力。</w:t>
      </w:r>
    </w:p>
    <w:p w14:paraId="63BB08BC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③依托旅游市场智慧监管平台实现智能监管，推进部门间数据资源共享，提升数字化监管效能。</w:t>
      </w:r>
    </w:p>
    <w:p w14:paraId="66AED6FE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④坚持以人民为中心，多措并举保障游客利益，满足人民对美好生活的需要。</w:t>
      </w:r>
      <w:r>
        <w:rPr>
          <w:rFonts w:hint="eastAsia"/>
          <w:color w:val="auto"/>
          <w:lang w:eastAsia="zh-CN" w:val="en-US"/>
        </w:rPr>
        <w:t>(每点2分，满分6分）</w:t>
      </w:r>
    </w:p>
    <w:p w14:paraId="39E857C3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(3)①坚持在对立中把握统一，在统一中把握对立。（或答出一分为二、坚持全面的观点均可替代）“体验”强调内心触动，“出片”强调留存价值，在“体验”与“出片”二者的矛盾关系中寻求平衡，共筑愉悦的旅行过程。</w:t>
      </w:r>
      <w:r>
        <w:rPr>
          <w:rFonts w:hint="eastAsia"/>
          <w:color w:val="auto"/>
          <w:lang w:eastAsia="zh-CN" w:val="en-US"/>
        </w:rPr>
        <w:t>(2分）</w:t>
      </w:r>
    </w:p>
    <w:p w14:paraId="7FAC8944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②坚持具体问题具体分析。每个旅行者的视角、体验感受都独一无二，应根据旅行场景、个人需求等调整二者的平衡，避免“公式化”表达。</w:t>
      </w:r>
      <w:r>
        <w:rPr>
          <w:rFonts w:hint="eastAsia"/>
          <w:color w:val="auto"/>
          <w:lang w:eastAsia="zh-CN" w:val="en-US"/>
        </w:rPr>
        <w:t>(2分）</w:t>
      </w:r>
    </w:p>
    <w:p w14:paraId="0131E78E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③坚持两点论与重点论的统一。在旅行中我们要同时看到“体验”和“出片”这两个方面，不能被次要方面“出片”所裹挟，而忽略矛盾的主要方面即体验带来的内心触动，导致旅行价值失衡。</w:t>
      </w:r>
      <w:r>
        <w:rPr>
          <w:rFonts w:hint="eastAsia"/>
          <w:color w:val="auto"/>
          <w:lang w:eastAsia="zh-CN" w:val="en-US"/>
        </w:rPr>
        <w:t>(3分）</w:t>
      </w:r>
    </w:p>
    <w:p w14:paraId="2A4C9D9A">
      <w:pPr>
        <w:shd w:color="auto" w:fill="auto" w:val="clear"/>
        <w:spacing w:after="0" w:before="0" w:line="360" w:lineRule="auto"/>
        <w:ind w:firstLine="0" w:left="420"/>
        <w:jc w:val="left"/>
        <w:textAlignment w:val="center"/>
        <w:rPr>
          <w:color w:val="auto"/>
          <w:sz w:val="21"/>
        </w:rPr>
      </w:pPr>
    </w:p>
    <w:p w14:paraId="79F314AE">
      <w:pPr>
        <w:numPr>
          <w:ilvl w:val="0"/>
          <w:numId w:val="0"/>
        </w:numPr>
        <w:spacing w:after="0" w:before="0" w:line="360" w:lineRule="auto"/>
        <w:ind w:firstLine="0" w:left="420"/>
        <w:rPr>
          <w:rFonts w:hint="default"/>
          <w:color w:val="auto"/>
          <w:lang w:eastAsia="zh-CN" w:val="en-US"/>
        </w:rPr>
      </w:pPr>
    </w:p>
    <w:sectPr>
      <w:headerReference r:id="rId5" w:type="default"/>
      <w:footerReference r:id="rId6" w:type="default"/>
      <w:pgSz w:h="16838" w:w="11906"/>
      <w:pgMar w:bottom="1440" w:footer="992" w:gutter="0" w:header="851" w:left="1083" w:right="1083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9B32B31">
    <w:pPr>
      <w:spacing w:before="0" w:after="0" w:line="240" w:lineRule="auto"/>
      <w:jc w:val="center"/>
    </w:pPr>
    <w:r>
      <w:rPr>
        <w:rFonts w:ascii="Times New Roman" w:eastAsia="Times New Roman" w:hAnsi="Times New Roman"/>
        <w:b w:val="0"/>
        <w:sz w:val="21"/>
      </w:rPr>
      <w:fldChar w:fldCharType="begin"/>
    </w:r>
    <w:r>
      <w:rPr>
        <w:rFonts w:ascii="Times New Roman" w:eastAsia="Times New Roman" w:hAnsi="Times New Roman"/>
        <w:b w:val="0"/>
        <w:sz w:val="21"/>
      </w:rPr>
      <w:instrText>PAGE</w:instrText>
    </w:r>
    <w:r>
      <w:rPr>
        <w:rFonts w:ascii="Times New Roman" w:eastAsia="Times New Roman" w:hAnsi="Times New Roman"/>
        <w:b w:val="0"/>
        <w:sz w:val="21"/>
      </w:rPr>
      <w:fldChar w:fldCharType="separate"/>
    </w:r>
    <w:r>
      <w:rPr>
        <w:rFonts w:ascii="Times New Roman" w:eastAsia="Times New Roman" w:hAnsi="Times New Roman"/>
        <w:b w:val="0"/>
        <w:sz w:val="21"/>
      </w:rPr>
      <w:fldChar w:fldCharType="end"/>
    </w:r>
    <w:r>
      <w:rPr>
        <w:rFonts w:ascii="Times New Roman" w:eastAsia="Times New Roman" w:hAnsi="Times New Roman"/>
        <w:b w:val="0"/>
        <w:sz w:val="21"/>
      </w:rPr>
      <w:t xml:space="preserve"> / </w:t>
    </w:r>
    <w:r>
      <w:rPr>
        <w:rFonts w:ascii="Times New Roman" w:eastAsia="Times New Roman" w:hAnsi="Times New Roman"/>
        <w:b w:val="0"/>
        <w:sz w:val="21"/>
      </w:rPr>
      <w:fldChar w:fldCharType="begin"/>
    </w:r>
    <w:r>
      <w:rPr>
        <w:rFonts w:ascii="Times New Roman" w:eastAsia="Times New Roman" w:hAnsi="Times New Roman"/>
        <w:b w:val="0"/>
        <w:sz w:val="21"/>
      </w:rPr>
      <w:instrText>NUMPAGES</w:instrText>
    </w:r>
    <w:r>
      <w:rPr>
        <w:rFonts w:ascii="Times New Roman" w:eastAsia="Times New Roman" w:hAnsi="Times New Roman"/>
        <w:b w:val="0"/>
        <w:sz w:val="21"/>
      </w:rPr>
      <w:fldChar w:fldCharType="separate"/>
    </w:r>
    <w:r>
      <w:rPr>
        <w:rFonts w:ascii="Times New Roman" w:eastAsia="Times New Roman" w:hAnsi="Times New Roman"/>
        <w:b w:val="0"/>
        <w:sz w:val="21"/>
      </w:rPr>
      <w:fldChar w:fldCharType="end"/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8C3C1EE">
    <w:r>
      <w:drawing>
        <wp:inline distT="0" distB="0" distL="114300" distR="114300">
          <wp:extent cx="6207125" cy="190500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207125" cy="190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0565C79"/>
    <w:multiLevelType w:val="singleLevel"/>
    <w:tmpl w:val="A0565C7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37FF81"/>
    <w:multiLevelType w:val="singleLevel"/>
    <w:tmpl w:val="2537FF81"/>
    <w:lvl w:ilvl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2AD65857"/>
    <w:rsid w:val="36B11374"/>
    <w:rsid w:val="570067FC"/>
    <w:rsid w:val="6ECE6E12"/>
  </w:rsids>
  <w:docVars>
    <w:docVar w:name="commondata" w:val="eyJoZGlkIjoiMTM2ODU3M2ZmYzIxYWE2YWFlOTA4ZTk1NDUxMmQy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1398</Words>
  <Characters>1459</Characters>
  <Application>Microsoft Office Word</Application>
  <DocSecurity>0</DocSecurity>
  <Lines>0</Lines>
  <Paragraphs>0</Paragraphs>
  <ScaleCrop>false</ScaleCrop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dc:description>原创精品资源学科网独家享有版权，侵权必究！</dc:description>
  <cp:lastModifiedBy>琼</cp:lastModifiedBy>
  <cp:revision>0</cp:revision>
  <dcterms:created xsi:type="dcterms:W3CDTF">2024-11-14T05:49:00Z</dcterms:created>
  <dcterms:modified xsi:type="dcterms:W3CDTF">2025-11-25T02:16:52Z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