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DE6E2">
      <w:pPr>
        <w:spacing w:line="360" w:lineRule="auto"/>
        <w:jc w:val="center"/>
      </w:pPr>
      <w:r>
        <w:rPr>
          <w:rFonts w:ascii="宋体" w:hAnsi="宋体" w:eastAsia="宋体" w:cs="宋体"/>
          <w:b/>
          <w:color w:val="auto"/>
          <w:sz w:val="36"/>
        </w:rPr>
        <w:drawing>
          <wp:anchor distT="0" distB="0" distL="114300" distR="114300" simplePos="0" relativeHeight="251659264" behindDoc="0" locked="0" layoutInCell="1" allowOverlap="1">
            <wp:simplePos x="0" y="0"/>
            <wp:positionH relativeFrom="page">
              <wp:posOffset>12153900</wp:posOffset>
            </wp:positionH>
            <wp:positionV relativeFrom="topMargin">
              <wp:posOffset>12331700</wp:posOffset>
            </wp:positionV>
            <wp:extent cx="304800" cy="317500"/>
            <wp:effectExtent l="0" t="0" r="0" b="635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304800" cy="317500"/>
                    </a:xfrm>
                    <a:prstGeom prst="rect">
                      <a:avLst/>
                    </a:prstGeom>
                  </pic:spPr>
                </pic:pic>
              </a:graphicData>
            </a:graphic>
          </wp:anchor>
        </w:drawing>
      </w:r>
      <w:r>
        <w:rPr>
          <w:rFonts w:ascii="宋体" w:hAnsi="宋体" w:eastAsia="宋体" w:cs="宋体"/>
          <w:b/>
          <w:color w:val="auto"/>
          <w:sz w:val="36"/>
        </w:rPr>
        <w:t>参考答案</w:t>
      </w:r>
    </w:p>
    <w:p w14:paraId="65EFAB2A">
      <w:pPr>
        <w:spacing w:line="360" w:lineRule="auto"/>
        <w:jc w:val="center"/>
      </w:pPr>
      <w:r>
        <w:rPr>
          <w:rFonts w:ascii="宋体" w:hAnsi="宋体" w:eastAsia="宋体" w:cs="宋体"/>
          <w:b/>
          <w:color w:val="auto"/>
          <w:sz w:val="32"/>
        </w:rPr>
        <w:t>2024年6月浙江省普通高校招生选考科目考试</w:t>
      </w:r>
    </w:p>
    <w:p w14:paraId="64219487">
      <w:pPr>
        <w:spacing w:line="360" w:lineRule="auto"/>
        <w:jc w:val="center"/>
      </w:pPr>
      <w:bookmarkStart w:id="0" w:name="_GoBack"/>
      <w:bookmarkEnd w:id="0"/>
      <w:r>
        <w:rPr>
          <w:rFonts w:ascii="宋体" w:hAnsi="宋体" w:eastAsia="宋体" w:cs="宋体"/>
          <w:b/>
          <w:color w:val="auto"/>
          <w:sz w:val="32"/>
        </w:rPr>
        <w:t>思想政治</w:t>
      </w:r>
    </w:p>
    <w:p w14:paraId="21DCA273">
      <w:pPr>
        <w:spacing w:line="360" w:lineRule="auto"/>
        <w:jc w:val="left"/>
      </w:pPr>
      <w:r>
        <w:rPr>
          <w:rFonts w:ascii="宋体" w:hAnsi="宋体" w:eastAsia="宋体" w:cs="宋体"/>
          <w:b/>
          <w:color w:val="auto"/>
          <w:sz w:val="24"/>
        </w:rPr>
        <w:t>本试题卷分选择题和非选择题两部分，共6页，满分100分，考试时间90分钟。</w:t>
      </w:r>
    </w:p>
    <w:p w14:paraId="126A64B9">
      <w:pPr>
        <w:spacing w:line="360" w:lineRule="auto"/>
        <w:jc w:val="left"/>
      </w:pPr>
      <w:r>
        <w:rPr>
          <w:rFonts w:ascii="宋体" w:hAnsi="宋体" w:eastAsia="宋体" w:cs="宋体"/>
          <w:b/>
          <w:color w:val="auto"/>
          <w:sz w:val="24"/>
        </w:rPr>
        <w:t>考生注意:</w:t>
      </w:r>
    </w:p>
    <w:p w14:paraId="346E14FE">
      <w:pPr>
        <w:spacing w:line="360" w:lineRule="auto"/>
        <w:jc w:val="left"/>
      </w:pPr>
      <w:r>
        <w:rPr>
          <w:rFonts w:ascii="宋体" w:hAnsi="宋体" w:eastAsia="宋体" w:cs="宋体"/>
          <w:b/>
          <w:color w:val="auto"/>
          <w:sz w:val="24"/>
        </w:rPr>
        <w:t>1.答题前，请务必将自己的姓名、准考证号用黑色字迹的签字笔或钢笔分别填写在试卷和答题纸规定的位置上。</w:t>
      </w:r>
    </w:p>
    <w:p w14:paraId="7CFCA3B2">
      <w:pPr>
        <w:spacing w:line="360" w:lineRule="auto"/>
        <w:jc w:val="left"/>
      </w:pPr>
      <w:r>
        <w:rPr>
          <w:rFonts w:ascii="宋体" w:hAnsi="宋体" w:eastAsia="宋体" w:cs="宋体"/>
          <w:b/>
          <w:color w:val="auto"/>
          <w:sz w:val="24"/>
        </w:rPr>
        <w:t>2.答题时，请按照答题纸上“注意事项”的要求，在答题纸相应的位置上规范作答，在试题卷上的作答一律无效。</w:t>
      </w:r>
    </w:p>
    <w:p w14:paraId="0423BF04">
      <w:pPr>
        <w:spacing w:line="360" w:lineRule="auto"/>
        <w:jc w:val="center"/>
      </w:pPr>
      <w:r>
        <w:rPr>
          <w:rFonts w:ascii="宋体" w:hAnsi="宋体" w:eastAsia="宋体" w:cs="宋体"/>
          <w:b/>
          <w:color w:val="auto"/>
          <w:sz w:val="24"/>
        </w:rPr>
        <w:t>选择题部分</w:t>
      </w:r>
    </w:p>
    <w:p w14:paraId="4FEAF215">
      <w:pPr>
        <w:spacing w:line="360" w:lineRule="auto"/>
        <w:jc w:val="left"/>
      </w:pPr>
      <w:r>
        <w:rPr>
          <w:rFonts w:ascii="宋体" w:hAnsi="宋体" w:eastAsia="宋体" w:cs="宋体"/>
          <w:b/>
          <w:color w:val="auto"/>
          <w:sz w:val="24"/>
        </w:rPr>
        <w:t>一、选择题(本大题共17小题，每小题2分,共34分。每小题列出的四个备选项中只有一个是符合题目要求的，不选、多选，错选均不得分)</w:t>
      </w:r>
    </w:p>
    <w:tbl>
      <w:tblPr>
        <w:tblStyle w:val="4"/>
        <w:tblW w:w="8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25"/>
        <w:gridCol w:w="825"/>
        <w:gridCol w:w="825"/>
        <w:gridCol w:w="825"/>
        <w:gridCol w:w="825"/>
        <w:gridCol w:w="825"/>
        <w:gridCol w:w="825"/>
        <w:gridCol w:w="825"/>
        <w:gridCol w:w="825"/>
        <w:gridCol w:w="825"/>
      </w:tblGrid>
      <w:tr w14:paraId="2E07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825" w:type="dxa"/>
            <w:tcBorders>
              <w:top w:val="nil"/>
              <w:left w:val="nil"/>
              <w:bottom w:val="nil"/>
              <w:right w:val="nil"/>
            </w:tcBorders>
            <w:tcMar>
              <w:top w:w="75" w:type="dxa"/>
              <w:bottom w:w="75" w:type="dxa"/>
            </w:tcMar>
            <w:vAlign w:val="center"/>
          </w:tcPr>
          <w:p w14:paraId="63247D14">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1.</w:t>
            </w:r>
            <w:r>
              <w:rPr>
                <w:rFonts w:eastAsia="宋体" w:cs="宋体"/>
                <w:kern w:val="2"/>
                <w:sz w:val="21"/>
                <w:szCs w:val="24"/>
                <w:lang w:val="en-US" w:eastAsia="zh-CN" w:bidi="ar-SA"/>
              </w:rPr>
              <w:t>B</w:t>
            </w:r>
          </w:p>
        </w:tc>
        <w:tc>
          <w:tcPr>
            <w:tcW w:w="825" w:type="dxa"/>
            <w:tcBorders>
              <w:top w:val="nil"/>
              <w:left w:val="nil"/>
              <w:bottom w:val="nil"/>
              <w:right w:val="nil"/>
            </w:tcBorders>
            <w:tcMar>
              <w:top w:w="75" w:type="dxa"/>
              <w:bottom w:w="75" w:type="dxa"/>
            </w:tcMar>
            <w:vAlign w:val="center"/>
          </w:tcPr>
          <w:p w14:paraId="5BCD14B4">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2.</w:t>
            </w:r>
            <w:r>
              <w:rPr>
                <w:rFonts w:eastAsia="宋体" w:cs="宋体"/>
                <w:kern w:val="2"/>
                <w:sz w:val="21"/>
                <w:szCs w:val="24"/>
                <w:lang w:val="en-US" w:eastAsia="zh-CN" w:bidi="ar-SA"/>
              </w:rPr>
              <w:t>D</w:t>
            </w:r>
          </w:p>
        </w:tc>
        <w:tc>
          <w:tcPr>
            <w:tcW w:w="825" w:type="dxa"/>
            <w:tcBorders>
              <w:top w:val="nil"/>
              <w:left w:val="nil"/>
              <w:bottom w:val="nil"/>
              <w:right w:val="nil"/>
            </w:tcBorders>
            <w:tcMar>
              <w:top w:w="75" w:type="dxa"/>
              <w:bottom w:w="75" w:type="dxa"/>
            </w:tcMar>
            <w:vAlign w:val="center"/>
          </w:tcPr>
          <w:p w14:paraId="4CD79233">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3.</w:t>
            </w:r>
            <w:r>
              <w:rPr>
                <w:rFonts w:eastAsia="宋体" w:cs="宋体"/>
                <w:kern w:val="2"/>
                <w:sz w:val="21"/>
                <w:szCs w:val="24"/>
                <w:lang w:val="en-US" w:eastAsia="zh-CN" w:bidi="ar-SA"/>
              </w:rPr>
              <w:t>A</w:t>
            </w:r>
          </w:p>
        </w:tc>
        <w:tc>
          <w:tcPr>
            <w:tcW w:w="825" w:type="dxa"/>
            <w:tcBorders>
              <w:top w:val="nil"/>
              <w:left w:val="nil"/>
              <w:bottom w:val="nil"/>
              <w:right w:val="nil"/>
            </w:tcBorders>
            <w:tcMar>
              <w:top w:w="75" w:type="dxa"/>
              <w:bottom w:w="75" w:type="dxa"/>
            </w:tcMar>
            <w:vAlign w:val="center"/>
          </w:tcPr>
          <w:p w14:paraId="44FE4D34">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4.</w:t>
            </w:r>
            <w:r>
              <w:rPr>
                <w:rFonts w:eastAsia="宋体" w:cs="宋体"/>
                <w:kern w:val="2"/>
                <w:sz w:val="21"/>
                <w:szCs w:val="24"/>
                <w:lang w:val="en-US" w:eastAsia="zh-CN" w:bidi="ar-SA"/>
              </w:rPr>
              <w:t>B</w:t>
            </w:r>
          </w:p>
        </w:tc>
        <w:tc>
          <w:tcPr>
            <w:tcW w:w="825" w:type="dxa"/>
            <w:tcBorders>
              <w:top w:val="nil"/>
              <w:left w:val="nil"/>
              <w:bottom w:val="nil"/>
              <w:right w:val="nil"/>
            </w:tcBorders>
            <w:tcMar>
              <w:top w:w="75" w:type="dxa"/>
              <w:bottom w:w="75" w:type="dxa"/>
            </w:tcMar>
            <w:vAlign w:val="center"/>
          </w:tcPr>
          <w:p w14:paraId="6E66D92E">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5.</w:t>
            </w:r>
            <w:r>
              <w:rPr>
                <w:rFonts w:eastAsia="宋体" w:cs="宋体"/>
                <w:kern w:val="2"/>
                <w:sz w:val="21"/>
                <w:szCs w:val="24"/>
                <w:lang w:val="en-US" w:eastAsia="zh-CN" w:bidi="ar-SA"/>
              </w:rPr>
              <w:t>C</w:t>
            </w:r>
          </w:p>
        </w:tc>
        <w:tc>
          <w:tcPr>
            <w:tcW w:w="825" w:type="dxa"/>
            <w:tcBorders>
              <w:top w:val="nil"/>
              <w:left w:val="nil"/>
              <w:bottom w:val="nil"/>
              <w:right w:val="nil"/>
            </w:tcBorders>
            <w:tcMar>
              <w:top w:w="75" w:type="dxa"/>
              <w:bottom w:w="75" w:type="dxa"/>
            </w:tcMar>
            <w:vAlign w:val="center"/>
          </w:tcPr>
          <w:p w14:paraId="40624999">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6.</w:t>
            </w:r>
            <w:r>
              <w:rPr>
                <w:rFonts w:eastAsia="宋体" w:cs="宋体"/>
                <w:kern w:val="2"/>
                <w:sz w:val="21"/>
                <w:szCs w:val="24"/>
                <w:lang w:val="en-US" w:eastAsia="zh-CN" w:bidi="ar-SA"/>
              </w:rPr>
              <w:t>A</w:t>
            </w:r>
          </w:p>
        </w:tc>
        <w:tc>
          <w:tcPr>
            <w:tcW w:w="825" w:type="dxa"/>
            <w:tcBorders>
              <w:top w:val="nil"/>
              <w:left w:val="nil"/>
              <w:bottom w:val="nil"/>
              <w:right w:val="nil"/>
            </w:tcBorders>
            <w:tcMar>
              <w:top w:w="75" w:type="dxa"/>
              <w:bottom w:w="75" w:type="dxa"/>
            </w:tcMar>
            <w:vAlign w:val="center"/>
          </w:tcPr>
          <w:p w14:paraId="679F1106">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7.</w:t>
            </w:r>
            <w:r>
              <w:rPr>
                <w:rFonts w:eastAsia="宋体" w:cs="宋体"/>
                <w:kern w:val="2"/>
                <w:sz w:val="21"/>
                <w:szCs w:val="24"/>
                <w:lang w:val="en-US" w:eastAsia="zh-CN" w:bidi="ar-SA"/>
              </w:rPr>
              <w:t>B</w:t>
            </w:r>
          </w:p>
        </w:tc>
        <w:tc>
          <w:tcPr>
            <w:tcW w:w="825" w:type="dxa"/>
            <w:tcBorders>
              <w:top w:val="nil"/>
              <w:left w:val="nil"/>
              <w:bottom w:val="nil"/>
              <w:right w:val="nil"/>
            </w:tcBorders>
            <w:tcMar>
              <w:top w:w="75" w:type="dxa"/>
              <w:bottom w:w="75" w:type="dxa"/>
            </w:tcMar>
            <w:vAlign w:val="center"/>
          </w:tcPr>
          <w:p w14:paraId="26C2E307">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8.</w:t>
            </w:r>
            <w:r>
              <w:rPr>
                <w:rFonts w:eastAsia="宋体" w:cs="宋体"/>
                <w:kern w:val="2"/>
                <w:sz w:val="21"/>
                <w:szCs w:val="24"/>
                <w:lang w:val="en-US" w:eastAsia="zh-CN" w:bidi="ar-SA"/>
              </w:rPr>
              <w:t>A</w:t>
            </w:r>
          </w:p>
        </w:tc>
        <w:tc>
          <w:tcPr>
            <w:tcW w:w="825" w:type="dxa"/>
            <w:tcBorders>
              <w:top w:val="nil"/>
              <w:left w:val="nil"/>
              <w:bottom w:val="nil"/>
              <w:right w:val="nil"/>
            </w:tcBorders>
            <w:tcMar>
              <w:top w:w="75" w:type="dxa"/>
              <w:bottom w:w="75" w:type="dxa"/>
            </w:tcMar>
            <w:vAlign w:val="center"/>
          </w:tcPr>
          <w:p w14:paraId="3BF8F734">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9.</w:t>
            </w:r>
            <w:r>
              <w:rPr>
                <w:rFonts w:eastAsia="宋体" w:cs="宋体"/>
                <w:kern w:val="2"/>
                <w:sz w:val="21"/>
                <w:szCs w:val="24"/>
                <w:lang w:val="en-US" w:eastAsia="zh-CN" w:bidi="ar-SA"/>
              </w:rPr>
              <w:t>D</w:t>
            </w:r>
          </w:p>
        </w:tc>
        <w:tc>
          <w:tcPr>
            <w:tcW w:w="825" w:type="dxa"/>
            <w:tcBorders>
              <w:top w:val="nil"/>
              <w:left w:val="nil"/>
              <w:bottom w:val="nil"/>
              <w:right w:val="nil"/>
            </w:tcBorders>
            <w:tcMar>
              <w:top w:w="75" w:type="dxa"/>
              <w:bottom w:w="75" w:type="dxa"/>
            </w:tcMar>
            <w:vAlign w:val="center"/>
          </w:tcPr>
          <w:p w14:paraId="3D44F5E0">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10.</w:t>
            </w:r>
            <w:r>
              <w:rPr>
                <w:rFonts w:eastAsia="宋体" w:cs="宋体"/>
                <w:kern w:val="2"/>
                <w:sz w:val="21"/>
                <w:szCs w:val="24"/>
                <w:lang w:val="en-US" w:eastAsia="zh-CN" w:bidi="ar-SA"/>
              </w:rPr>
              <w:t>C</w:t>
            </w:r>
          </w:p>
        </w:tc>
      </w:tr>
      <w:tr w14:paraId="4CA96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825" w:type="dxa"/>
            <w:tcBorders>
              <w:top w:val="nil"/>
              <w:left w:val="nil"/>
              <w:bottom w:val="nil"/>
              <w:right w:val="nil"/>
            </w:tcBorders>
            <w:tcMar>
              <w:top w:w="75" w:type="dxa"/>
              <w:bottom w:w="75" w:type="dxa"/>
            </w:tcMar>
            <w:vAlign w:val="center"/>
          </w:tcPr>
          <w:p w14:paraId="69F1F86E">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11.</w:t>
            </w:r>
            <w:r>
              <w:rPr>
                <w:rFonts w:eastAsia="宋体" w:cs="宋体"/>
                <w:kern w:val="2"/>
                <w:sz w:val="21"/>
                <w:szCs w:val="24"/>
                <w:lang w:val="en-US" w:eastAsia="zh-CN" w:bidi="ar-SA"/>
              </w:rPr>
              <w:t>D</w:t>
            </w:r>
          </w:p>
        </w:tc>
        <w:tc>
          <w:tcPr>
            <w:tcW w:w="825" w:type="dxa"/>
            <w:tcBorders>
              <w:top w:val="nil"/>
              <w:left w:val="nil"/>
              <w:bottom w:val="nil"/>
              <w:right w:val="nil"/>
            </w:tcBorders>
            <w:tcMar>
              <w:top w:w="75" w:type="dxa"/>
              <w:bottom w:w="75" w:type="dxa"/>
            </w:tcMar>
            <w:vAlign w:val="center"/>
          </w:tcPr>
          <w:p w14:paraId="627550C2">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12.</w:t>
            </w:r>
            <w:r>
              <w:rPr>
                <w:rFonts w:eastAsia="宋体" w:cs="宋体"/>
                <w:kern w:val="2"/>
                <w:sz w:val="21"/>
                <w:szCs w:val="24"/>
                <w:lang w:val="en-US" w:eastAsia="zh-CN" w:bidi="ar-SA"/>
              </w:rPr>
              <w:t>A</w:t>
            </w:r>
          </w:p>
        </w:tc>
        <w:tc>
          <w:tcPr>
            <w:tcW w:w="825" w:type="dxa"/>
            <w:tcBorders>
              <w:top w:val="nil"/>
              <w:left w:val="nil"/>
              <w:bottom w:val="nil"/>
              <w:right w:val="nil"/>
            </w:tcBorders>
            <w:tcMar>
              <w:top w:w="75" w:type="dxa"/>
              <w:bottom w:w="75" w:type="dxa"/>
            </w:tcMar>
            <w:vAlign w:val="center"/>
          </w:tcPr>
          <w:p w14:paraId="11D65262">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13.</w:t>
            </w:r>
            <w:r>
              <w:rPr>
                <w:rFonts w:eastAsia="宋体" w:cs="宋体"/>
                <w:kern w:val="2"/>
                <w:sz w:val="21"/>
                <w:szCs w:val="24"/>
                <w:lang w:val="en-US" w:eastAsia="zh-CN" w:bidi="ar-SA"/>
              </w:rPr>
              <w:t>C</w:t>
            </w:r>
          </w:p>
        </w:tc>
        <w:tc>
          <w:tcPr>
            <w:tcW w:w="825" w:type="dxa"/>
            <w:tcBorders>
              <w:top w:val="nil"/>
              <w:left w:val="nil"/>
              <w:bottom w:val="nil"/>
              <w:right w:val="nil"/>
            </w:tcBorders>
            <w:tcMar>
              <w:top w:w="75" w:type="dxa"/>
              <w:bottom w:w="75" w:type="dxa"/>
            </w:tcMar>
            <w:vAlign w:val="center"/>
          </w:tcPr>
          <w:p w14:paraId="4C6357AC">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14.</w:t>
            </w:r>
            <w:r>
              <w:rPr>
                <w:rFonts w:eastAsia="宋体" w:cs="宋体"/>
                <w:kern w:val="2"/>
                <w:sz w:val="21"/>
                <w:szCs w:val="24"/>
                <w:lang w:val="en-US" w:eastAsia="zh-CN" w:bidi="ar-SA"/>
              </w:rPr>
              <w:t>C</w:t>
            </w:r>
          </w:p>
        </w:tc>
        <w:tc>
          <w:tcPr>
            <w:tcW w:w="825" w:type="dxa"/>
            <w:tcBorders>
              <w:top w:val="nil"/>
              <w:left w:val="nil"/>
              <w:bottom w:val="nil"/>
              <w:right w:val="nil"/>
            </w:tcBorders>
            <w:tcMar>
              <w:top w:w="75" w:type="dxa"/>
              <w:bottom w:w="75" w:type="dxa"/>
            </w:tcMar>
            <w:vAlign w:val="center"/>
          </w:tcPr>
          <w:p w14:paraId="41417C5F">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15.</w:t>
            </w:r>
            <w:r>
              <w:rPr>
                <w:rFonts w:eastAsia="宋体" w:cs="宋体"/>
                <w:kern w:val="2"/>
                <w:sz w:val="21"/>
                <w:szCs w:val="24"/>
                <w:lang w:val="en-US" w:eastAsia="zh-CN" w:bidi="ar-SA"/>
              </w:rPr>
              <w:t>B</w:t>
            </w:r>
          </w:p>
        </w:tc>
        <w:tc>
          <w:tcPr>
            <w:tcW w:w="825" w:type="dxa"/>
            <w:tcBorders>
              <w:top w:val="nil"/>
              <w:left w:val="nil"/>
              <w:bottom w:val="nil"/>
              <w:right w:val="nil"/>
            </w:tcBorders>
            <w:tcMar>
              <w:top w:w="75" w:type="dxa"/>
              <w:bottom w:w="75" w:type="dxa"/>
            </w:tcMar>
            <w:vAlign w:val="center"/>
          </w:tcPr>
          <w:p w14:paraId="46A63471">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16.</w:t>
            </w:r>
            <w:r>
              <w:rPr>
                <w:rFonts w:eastAsia="宋体" w:cs="宋体"/>
                <w:kern w:val="2"/>
                <w:sz w:val="21"/>
                <w:szCs w:val="24"/>
                <w:lang w:val="en-US" w:eastAsia="zh-CN" w:bidi="ar-SA"/>
              </w:rPr>
              <w:t>C</w:t>
            </w:r>
          </w:p>
        </w:tc>
        <w:tc>
          <w:tcPr>
            <w:tcW w:w="825" w:type="dxa"/>
            <w:tcBorders>
              <w:top w:val="nil"/>
              <w:left w:val="nil"/>
              <w:bottom w:val="nil"/>
              <w:right w:val="nil"/>
            </w:tcBorders>
            <w:tcMar>
              <w:top w:w="75" w:type="dxa"/>
              <w:bottom w:w="75" w:type="dxa"/>
            </w:tcMar>
            <w:vAlign w:val="center"/>
          </w:tcPr>
          <w:p w14:paraId="406749E8">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17.</w:t>
            </w:r>
            <w:r>
              <w:rPr>
                <w:rFonts w:eastAsia="宋体" w:cs="宋体"/>
                <w:kern w:val="2"/>
                <w:sz w:val="21"/>
                <w:szCs w:val="24"/>
                <w:lang w:val="en-US" w:eastAsia="zh-CN" w:bidi="ar-SA"/>
              </w:rPr>
              <w:t>B</w:t>
            </w:r>
          </w:p>
        </w:tc>
        <w:tc>
          <w:tcPr>
            <w:tcW w:w="825" w:type="dxa"/>
            <w:tcBorders>
              <w:top w:val="nil"/>
              <w:left w:val="nil"/>
              <w:bottom w:val="nil"/>
              <w:right w:val="nil"/>
            </w:tcBorders>
            <w:tcMar>
              <w:top w:w="75" w:type="dxa"/>
              <w:bottom w:w="75" w:type="dxa"/>
            </w:tcMar>
            <w:vAlign w:val="center"/>
          </w:tcPr>
          <w:p w14:paraId="62A62359">
            <w:pPr>
              <w:widowControl w:val="0"/>
              <w:spacing w:line="360" w:lineRule="auto"/>
              <w:jc w:val="left"/>
              <w:rPr>
                <w:rFonts w:eastAsia="宋体" w:cs="宋体"/>
                <w:kern w:val="2"/>
                <w:sz w:val="21"/>
                <w:szCs w:val="24"/>
                <w:lang w:val="en-US" w:eastAsia="zh-CN" w:bidi="ar-SA"/>
              </w:rPr>
            </w:pPr>
          </w:p>
        </w:tc>
        <w:tc>
          <w:tcPr>
            <w:tcW w:w="825" w:type="dxa"/>
            <w:tcBorders>
              <w:top w:val="nil"/>
              <w:left w:val="nil"/>
              <w:bottom w:val="nil"/>
              <w:right w:val="nil"/>
            </w:tcBorders>
            <w:tcMar>
              <w:top w:w="75" w:type="dxa"/>
              <w:bottom w:w="75" w:type="dxa"/>
            </w:tcMar>
            <w:vAlign w:val="center"/>
          </w:tcPr>
          <w:p w14:paraId="299E813C">
            <w:pPr>
              <w:widowControl w:val="0"/>
              <w:spacing w:line="360" w:lineRule="auto"/>
              <w:jc w:val="left"/>
              <w:rPr>
                <w:rFonts w:eastAsia="宋体" w:cs="宋体"/>
                <w:kern w:val="2"/>
                <w:sz w:val="21"/>
                <w:szCs w:val="24"/>
                <w:lang w:val="en-US" w:eastAsia="zh-CN" w:bidi="ar-SA"/>
              </w:rPr>
            </w:pPr>
          </w:p>
        </w:tc>
        <w:tc>
          <w:tcPr>
            <w:tcW w:w="825" w:type="dxa"/>
            <w:tcBorders>
              <w:top w:val="nil"/>
              <w:left w:val="nil"/>
              <w:bottom w:val="nil"/>
              <w:right w:val="nil"/>
            </w:tcBorders>
            <w:tcMar>
              <w:top w:w="75" w:type="dxa"/>
              <w:bottom w:w="75" w:type="dxa"/>
            </w:tcMar>
            <w:vAlign w:val="center"/>
          </w:tcPr>
          <w:p w14:paraId="175B3305">
            <w:pPr>
              <w:widowControl w:val="0"/>
              <w:spacing w:line="360" w:lineRule="auto"/>
              <w:jc w:val="left"/>
              <w:rPr>
                <w:rFonts w:eastAsia="宋体" w:cs="宋体"/>
                <w:kern w:val="2"/>
                <w:sz w:val="21"/>
                <w:szCs w:val="24"/>
                <w:lang w:val="en-US" w:eastAsia="zh-CN" w:bidi="ar-SA"/>
              </w:rPr>
            </w:pPr>
          </w:p>
        </w:tc>
      </w:tr>
    </w:tbl>
    <w:p w14:paraId="073A88B5">
      <w:pPr>
        <w:spacing w:line="360" w:lineRule="auto"/>
        <w:jc w:val="left"/>
      </w:pPr>
      <w:r>
        <w:rPr>
          <w:rFonts w:ascii="宋体" w:hAnsi="宋体" w:eastAsia="宋体" w:cs="宋体"/>
          <w:b/>
          <w:color w:val="auto"/>
          <w:sz w:val="24"/>
        </w:rPr>
        <w:t>二、选择题Ⅱ(本大题共7小题,每小题3分，共21分，每小题列出的四个备选项中只有一个是符合题目要求的，不选、多选、错选均不得分)。</w:t>
      </w:r>
    </w:p>
    <w:tbl>
      <w:tblPr>
        <w:tblStyle w:val="4"/>
        <w:tblW w:w="8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25"/>
        <w:gridCol w:w="825"/>
        <w:gridCol w:w="825"/>
        <w:gridCol w:w="825"/>
        <w:gridCol w:w="825"/>
        <w:gridCol w:w="825"/>
        <w:gridCol w:w="825"/>
        <w:gridCol w:w="825"/>
        <w:gridCol w:w="825"/>
        <w:gridCol w:w="825"/>
      </w:tblGrid>
      <w:tr w14:paraId="4039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825" w:type="dxa"/>
            <w:tcBorders>
              <w:top w:val="nil"/>
              <w:left w:val="nil"/>
              <w:bottom w:val="nil"/>
              <w:right w:val="nil"/>
            </w:tcBorders>
            <w:tcMar>
              <w:top w:w="75" w:type="dxa"/>
              <w:bottom w:w="75" w:type="dxa"/>
            </w:tcMar>
            <w:vAlign w:val="center"/>
          </w:tcPr>
          <w:p w14:paraId="32E0BFD0">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18.</w:t>
            </w:r>
            <w:r>
              <w:rPr>
                <w:rFonts w:eastAsia="宋体" w:cs="宋体"/>
                <w:kern w:val="2"/>
                <w:sz w:val="21"/>
                <w:szCs w:val="24"/>
                <w:lang w:val="en-US" w:eastAsia="zh-CN" w:bidi="ar-SA"/>
              </w:rPr>
              <w:t>A</w:t>
            </w:r>
          </w:p>
        </w:tc>
        <w:tc>
          <w:tcPr>
            <w:tcW w:w="825" w:type="dxa"/>
            <w:tcBorders>
              <w:top w:val="nil"/>
              <w:left w:val="nil"/>
              <w:bottom w:val="nil"/>
              <w:right w:val="nil"/>
            </w:tcBorders>
            <w:tcMar>
              <w:top w:w="75" w:type="dxa"/>
              <w:bottom w:w="75" w:type="dxa"/>
            </w:tcMar>
            <w:vAlign w:val="center"/>
          </w:tcPr>
          <w:p w14:paraId="75722FF5">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19.</w:t>
            </w:r>
            <w:r>
              <w:rPr>
                <w:rFonts w:eastAsia="宋体" w:cs="宋体"/>
                <w:kern w:val="2"/>
                <w:sz w:val="21"/>
                <w:szCs w:val="24"/>
                <w:lang w:val="en-US" w:eastAsia="zh-CN" w:bidi="ar-SA"/>
              </w:rPr>
              <w:t>D</w:t>
            </w:r>
          </w:p>
        </w:tc>
        <w:tc>
          <w:tcPr>
            <w:tcW w:w="825" w:type="dxa"/>
            <w:tcBorders>
              <w:top w:val="nil"/>
              <w:left w:val="nil"/>
              <w:bottom w:val="nil"/>
              <w:right w:val="nil"/>
            </w:tcBorders>
            <w:tcMar>
              <w:top w:w="75" w:type="dxa"/>
              <w:bottom w:w="75" w:type="dxa"/>
            </w:tcMar>
            <w:vAlign w:val="center"/>
          </w:tcPr>
          <w:p w14:paraId="73DAA278">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20.</w:t>
            </w:r>
            <w:r>
              <w:rPr>
                <w:rFonts w:eastAsia="宋体" w:cs="宋体"/>
                <w:kern w:val="2"/>
                <w:sz w:val="21"/>
                <w:szCs w:val="24"/>
                <w:lang w:val="en-US" w:eastAsia="zh-CN" w:bidi="ar-SA"/>
              </w:rPr>
              <w:t>D</w:t>
            </w:r>
          </w:p>
        </w:tc>
        <w:tc>
          <w:tcPr>
            <w:tcW w:w="825" w:type="dxa"/>
            <w:tcBorders>
              <w:top w:val="nil"/>
              <w:left w:val="nil"/>
              <w:bottom w:val="nil"/>
              <w:right w:val="nil"/>
            </w:tcBorders>
            <w:tcMar>
              <w:top w:w="75" w:type="dxa"/>
              <w:bottom w:w="75" w:type="dxa"/>
            </w:tcMar>
            <w:vAlign w:val="center"/>
          </w:tcPr>
          <w:p w14:paraId="397224B4">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21.</w:t>
            </w:r>
            <w:r>
              <w:rPr>
                <w:rFonts w:eastAsia="宋体" w:cs="宋体"/>
                <w:kern w:val="2"/>
                <w:sz w:val="21"/>
                <w:szCs w:val="24"/>
                <w:lang w:val="en-US" w:eastAsia="zh-CN" w:bidi="ar-SA"/>
              </w:rPr>
              <w:t>A</w:t>
            </w:r>
          </w:p>
        </w:tc>
        <w:tc>
          <w:tcPr>
            <w:tcW w:w="825" w:type="dxa"/>
            <w:tcBorders>
              <w:top w:val="nil"/>
              <w:left w:val="nil"/>
              <w:bottom w:val="nil"/>
              <w:right w:val="nil"/>
            </w:tcBorders>
            <w:tcMar>
              <w:top w:w="75" w:type="dxa"/>
              <w:bottom w:w="75" w:type="dxa"/>
            </w:tcMar>
            <w:vAlign w:val="center"/>
          </w:tcPr>
          <w:p w14:paraId="68472F90">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22.</w:t>
            </w:r>
            <w:r>
              <w:rPr>
                <w:rFonts w:eastAsia="宋体" w:cs="宋体"/>
                <w:kern w:val="2"/>
                <w:sz w:val="21"/>
                <w:szCs w:val="24"/>
                <w:lang w:val="en-US" w:eastAsia="zh-CN" w:bidi="ar-SA"/>
              </w:rPr>
              <w:t>D</w:t>
            </w:r>
          </w:p>
        </w:tc>
        <w:tc>
          <w:tcPr>
            <w:tcW w:w="825" w:type="dxa"/>
            <w:tcBorders>
              <w:top w:val="nil"/>
              <w:left w:val="nil"/>
              <w:bottom w:val="nil"/>
              <w:right w:val="nil"/>
            </w:tcBorders>
            <w:tcMar>
              <w:top w:w="75" w:type="dxa"/>
              <w:bottom w:w="75" w:type="dxa"/>
            </w:tcMar>
            <w:vAlign w:val="center"/>
          </w:tcPr>
          <w:p w14:paraId="6A053CE0">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23.</w:t>
            </w:r>
            <w:r>
              <w:rPr>
                <w:rFonts w:eastAsia="宋体" w:cs="宋体"/>
                <w:kern w:val="2"/>
                <w:sz w:val="21"/>
                <w:szCs w:val="24"/>
                <w:lang w:val="en-US" w:eastAsia="zh-CN" w:bidi="ar-SA"/>
              </w:rPr>
              <w:t>B</w:t>
            </w:r>
          </w:p>
        </w:tc>
        <w:tc>
          <w:tcPr>
            <w:tcW w:w="825" w:type="dxa"/>
            <w:tcBorders>
              <w:top w:val="nil"/>
              <w:left w:val="nil"/>
              <w:bottom w:val="nil"/>
              <w:right w:val="nil"/>
            </w:tcBorders>
            <w:tcMar>
              <w:top w:w="75" w:type="dxa"/>
              <w:bottom w:w="75" w:type="dxa"/>
            </w:tcMar>
            <w:vAlign w:val="center"/>
          </w:tcPr>
          <w:p w14:paraId="247DA26C">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24.</w:t>
            </w:r>
            <w:r>
              <w:rPr>
                <w:rFonts w:eastAsia="宋体" w:cs="宋体"/>
                <w:kern w:val="2"/>
                <w:sz w:val="21"/>
                <w:szCs w:val="24"/>
                <w:lang w:val="en-US" w:eastAsia="zh-CN" w:bidi="ar-SA"/>
              </w:rPr>
              <w:t>C</w:t>
            </w:r>
          </w:p>
        </w:tc>
        <w:tc>
          <w:tcPr>
            <w:tcW w:w="825" w:type="dxa"/>
            <w:tcBorders>
              <w:top w:val="nil"/>
              <w:left w:val="nil"/>
              <w:bottom w:val="nil"/>
              <w:right w:val="nil"/>
            </w:tcBorders>
            <w:tcMar>
              <w:top w:w="75" w:type="dxa"/>
              <w:bottom w:w="75" w:type="dxa"/>
            </w:tcMar>
            <w:vAlign w:val="center"/>
          </w:tcPr>
          <w:p w14:paraId="475AD920">
            <w:pPr>
              <w:widowControl w:val="0"/>
              <w:spacing w:line="360" w:lineRule="auto"/>
              <w:jc w:val="left"/>
              <w:rPr>
                <w:rFonts w:eastAsia="宋体" w:cs="宋体"/>
                <w:kern w:val="2"/>
                <w:sz w:val="21"/>
                <w:szCs w:val="24"/>
                <w:lang w:val="en-US" w:eastAsia="zh-CN" w:bidi="ar-SA"/>
              </w:rPr>
            </w:pPr>
          </w:p>
        </w:tc>
        <w:tc>
          <w:tcPr>
            <w:tcW w:w="825" w:type="dxa"/>
            <w:tcBorders>
              <w:top w:val="nil"/>
              <w:left w:val="nil"/>
              <w:bottom w:val="nil"/>
              <w:right w:val="nil"/>
            </w:tcBorders>
            <w:tcMar>
              <w:top w:w="75" w:type="dxa"/>
              <w:bottom w:w="75" w:type="dxa"/>
            </w:tcMar>
            <w:vAlign w:val="center"/>
          </w:tcPr>
          <w:p w14:paraId="21D0E2AA">
            <w:pPr>
              <w:widowControl w:val="0"/>
              <w:spacing w:line="360" w:lineRule="auto"/>
              <w:jc w:val="left"/>
              <w:rPr>
                <w:rFonts w:eastAsia="宋体" w:cs="宋体"/>
                <w:kern w:val="2"/>
                <w:sz w:val="21"/>
                <w:szCs w:val="24"/>
                <w:lang w:val="en-US" w:eastAsia="zh-CN" w:bidi="ar-SA"/>
              </w:rPr>
            </w:pPr>
          </w:p>
        </w:tc>
        <w:tc>
          <w:tcPr>
            <w:tcW w:w="825" w:type="dxa"/>
            <w:tcBorders>
              <w:top w:val="nil"/>
              <w:left w:val="nil"/>
              <w:bottom w:val="nil"/>
              <w:right w:val="nil"/>
            </w:tcBorders>
            <w:tcMar>
              <w:top w:w="75" w:type="dxa"/>
              <w:bottom w:w="75" w:type="dxa"/>
            </w:tcMar>
            <w:vAlign w:val="center"/>
          </w:tcPr>
          <w:p w14:paraId="2701EC5F">
            <w:pPr>
              <w:widowControl w:val="0"/>
              <w:spacing w:line="360" w:lineRule="auto"/>
              <w:jc w:val="left"/>
              <w:rPr>
                <w:rFonts w:eastAsia="宋体" w:cs="宋体"/>
                <w:kern w:val="2"/>
                <w:sz w:val="21"/>
                <w:szCs w:val="24"/>
                <w:lang w:val="en-US" w:eastAsia="zh-CN" w:bidi="ar-SA"/>
              </w:rPr>
            </w:pPr>
          </w:p>
        </w:tc>
      </w:tr>
    </w:tbl>
    <w:p w14:paraId="53E8DCD5">
      <w:pPr>
        <w:spacing w:line="360" w:lineRule="auto"/>
        <w:jc w:val="center"/>
      </w:pPr>
      <w:r>
        <w:rPr>
          <w:rFonts w:ascii="宋体" w:hAnsi="宋体" w:eastAsia="宋体" w:cs="宋体"/>
          <w:b/>
          <w:color w:val="auto"/>
          <w:sz w:val="24"/>
        </w:rPr>
        <w:t>非选择题部分</w:t>
      </w:r>
    </w:p>
    <w:p w14:paraId="3D34549D">
      <w:pPr>
        <w:spacing w:line="360" w:lineRule="auto"/>
        <w:jc w:val="left"/>
      </w:pPr>
      <w:r>
        <w:rPr>
          <w:rFonts w:ascii="宋体" w:hAnsi="宋体" w:eastAsia="宋体" w:cs="宋体"/>
          <w:b/>
          <w:color w:val="auto"/>
          <w:sz w:val="24"/>
        </w:rPr>
        <w:t>三、综合题(本大题共5小题，共45分)。</w:t>
      </w:r>
    </w:p>
    <w:p w14:paraId="65850D12">
      <w:pPr>
        <w:spacing w:line="360" w:lineRule="auto"/>
        <w:jc w:val="left"/>
      </w:pPr>
      <w:r>
        <w:rPr>
          <w:color w:val="auto"/>
          <w:sz w:val="21"/>
        </w:rPr>
        <w:t>25.</w:t>
      </w:r>
      <w:r>
        <w:t>（1）</w:t>
      </w:r>
      <w:r>
        <w:rPr>
          <w:rFonts w:ascii="宋体" w:hAnsi="宋体" w:eastAsia="宋体" w:cs="宋体"/>
          <w:color w:val="auto"/>
        </w:rPr>
        <w:t>①最高人民法院履行维护国家稳定的职能，</w:t>
      </w:r>
      <w:r>
        <w:rPr>
          <w:color w:val="auto"/>
        </w:rPr>
        <w:t>依法打击侵害国家安全和统一的各种活动，严惩重大恶性犯罪，维护了国家安全和公共秩序。</w:t>
      </w:r>
      <w:r>
        <w:rPr>
          <w:rFonts w:ascii="宋体" w:hAnsi="宋体" w:eastAsia="宋体" w:cs="宋体"/>
          <w:color w:val="auto"/>
        </w:rPr>
        <w:t>可替代：人民民主专政/对少数敌对分子实行专政/政治统治职能/对内职能。</w:t>
      </w:r>
    </w:p>
    <w:p w14:paraId="76700891">
      <w:pPr>
        <w:spacing w:line="360" w:lineRule="auto"/>
        <w:jc w:val="left"/>
      </w:pPr>
      <w:r>
        <w:rPr>
          <w:rFonts w:ascii="宋体" w:hAnsi="宋体" w:eastAsia="宋体" w:cs="宋体"/>
          <w:color w:val="auto"/>
        </w:rPr>
        <w:t>②加强人权司法保障，坚持罪刑法定、疑罪从无，依法纠正冤假错案，维护了人民群众的利益。</w:t>
      </w:r>
    </w:p>
    <w:p w14:paraId="7A2185B9">
      <w:pPr>
        <w:spacing w:line="360" w:lineRule="auto"/>
        <w:jc w:val="left"/>
      </w:pPr>
      <w:r>
        <w:rPr>
          <w:rFonts w:ascii="宋体" w:hAnsi="宋体" w:eastAsia="宋体" w:cs="宋体"/>
          <w:color w:val="auto"/>
        </w:rPr>
        <w:t>③坚持人民司法为人民，贯彻实施好民法典，用心办好百姓身边案，让人民群众切实感受到公平正义</w:t>
      </w:r>
      <w:r>
        <w:t xml:space="preserve">    </w:t>
      </w:r>
    </w:p>
    <w:p w14:paraId="71BBA0AC">
      <w:pPr>
        <w:spacing w:line="360" w:lineRule="auto"/>
        <w:jc w:val="left"/>
      </w:pPr>
      <w:r>
        <w:t>（2）</w:t>
      </w:r>
      <w:r>
        <w:rPr>
          <w:rFonts w:ascii="宋体" w:hAnsi="宋体" w:eastAsia="宋体" w:cs="宋体"/>
          <w:color w:val="auto"/>
        </w:rPr>
        <w:t>①对不正当竞争等行为依法予以严厉打击，有助于有序市场秩序的形成，可替代：市场机制、市场环境。</w:t>
      </w:r>
    </w:p>
    <w:p w14:paraId="234888B9">
      <w:pPr>
        <w:spacing w:line="360" w:lineRule="auto"/>
        <w:jc w:val="left"/>
      </w:pPr>
      <w:r>
        <w:rPr>
          <w:rFonts w:ascii="宋体" w:hAnsi="宋体" w:eastAsia="宋体" w:cs="宋体"/>
          <w:color w:val="auto"/>
        </w:rPr>
        <w:t>②依法平等保护民营企业产权和企业家权益，有助于非公有制经济主体依法享有平等权利。</w:t>
      </w:r>
    </w:p>
    <w:p w14:paraId="1FA47B9C">
      <w:pPr>
        <w:spacing w:line="360" w:lineRule="auto"/>
        <w:jc w:val="left"/>
      </w:pPr>
      <w:r>
        <w:rPr>
          <w:color w:val="auto"/>
          <w:sz w:val="21"/>
        </w:rPr>
        <w:t>26.</w:t>
      </w:r>
      <w:r>
        <w:t>（1）</w:t>
      </w:r>
      <w:r>
        <w:rPr>
          <w:rFonts w:ascii="宋体" w:hAnsi="宋体" w:eastAsia="宋体" w:cs="宋体"/>
          <w:color w:val="auto"/>
        </w:rPr>
        <w:t>①人民群众是社会物质财富的创造者。大庆石油人为国内生产了大量原油，一举甩掉我国的“贫油”帽子，迄今为止，大庆油田已累计生产原油2.5亿吨。</w:t>
      </w:r>
    </w:p>
    <w:p w14:paraId="2D574F37">
      <w:pPr>
        <w:spacing w:line="360" w:lineRule="auto"/>
        <w:jc w:val="left"/>
      </w:pPr>
      <w:r>
        <w:rPr>
          <w:rFonts w:ascii="宋体" w:hAnsi="宋体" w:eastAsia="宋体" w:cs="宋体"/>
          <w:color w:val="auto"/>
        </w:rPr>
        <w:t>②人民群众是社会精神财富的创造者。大庆石油人经过反复试验，提出了聚合物性驱动理论，建立世界首个工业化技术体系，最终形成大庆精神。</w:t>
      </w:r>
      <w:r>
        <w:t xml:space="preserve">    </w:t>
      </w:r>
    </w:p>
    <w:p w14:paraId="0070E897">
      <w:pPr>
        <w:spacing w:line="360" w:lineRule="auto"/>
        <w:jc w:val="left"/>
      </w:pPr>
      <w:r>
        <w:t>（2）</w:t>
      </w:r>
      <w:r>
        <w:rPr>
          <w:rFonts w:ascii="宋体" w:hAnsi="宋体" w:eastAsia="宋体" w:cs="宋体"/>
          <w:color w:val="auto"/>
        </w:rPr>
        <w:t>①大庆石油人为保证油田高产稳产，充分发挥主观能动性，反复探索和试验，不断创新才有理论和技术。(可替代答案：尊重客观规律和充分发挥主观能动性有机结合/在尊重客观规律的基础上充分发挥主观能动性)</w:t>
      </w:r>
    </w:p>
    <w:p w14:paraId="380953FC">
      <w:pPr>
        <w:spacing w:line="360" w:lineRule="auto"/>
        <w:jc w:val="left"/>
      </w:pPr>
      <w:r>
        <w:rPr>
          <w:rFonts w:ascii="宋体" w:hAnsi="宋体" w:eastAsia="宋体" w:cs="宋体"/>
          <w:color w:val="auto"/>
        </w:rPr>
        <w:t>②大庆精神是中华民族精神的重要体现，大庆石油人在这种精神的鼓舞下，攀上一座又一座的高峰。</w:t>
      </w:r>
    </w:p>
    <w:p w14:paraId="799732DB">
      <w:pPr>
        <w:spacing w:line="360" w:lineRule="auto"/>
        <w:jc w:val="left"/>
      </w:pPr>
      <w:r>
        <w:rPr>
          <w:color w:val="auto"/>
          <w:sz w:val="21"/>
        </w:rPr>
        <w:t>27.</w:t>
      </w:r>
      <w:r>
        <w:rPr>
          <w:rFonts w:ascii="宋体" w:hAnsi="宋体" w:eastAsia="宋体" w:cs="宋体"/>
          <w:color w:val="auto"/>
        </w:rPr>
        <w:t>法律事实分析：</w:t>
      </w:r>
    </w:p>
    <w:p w14:paraId="235AD29B">
      <w:pPr>
        <w:spacing w:line="360" w:lineRule="auto"/>
        <w:jc w:val="left"/>
      </w:pPr>
      <w:r>
        <w:rPr>
          <w:rFonts w:ascii="宋体" w:hAnsi="宋体" w:eastAsia="宋体" w:cs="宋体"/>
          <w:color w:val="auto"/>
        </w:rPr>
        <w:t>其一、围棋俱乐部开办“大师班”，存在虚假宣传事实，侵害了朱某等作为消费者的知情权益。</w:t>
      </w:r>
    </w:p>
    <w:p w14:paraId="70317FAE">
      <w:pPr>
        <w:spacing w:line="360" w:lineRule="auto"/>
        <w:jc w:val="left"/>
      </w:pPr>
      <w:r>
        <w:rPr>
          <w:rFonts w:ascii="宋体" w:hAnsi="宋体" w:eastAsia="宋体" w:cs="宋体"/>
          <w:color w:val="auto"/>
        </w:rPr>
        <w:t>其二、围棋俱乐部利用信息技术手段伪造、合成照片等行为，侵害了小雨及其他学员的肖像权。</w:t>
      </w:r>
    </w:p>
    <w:p w14:paraId="70500E4F">
      <w:pPr>
        <w:spacing w:line="360" w:lineRule="auto"/>
        <w:jc w:val="left"/>
      </w:pPr>
      <w:r>
        <w:rPr>
          <w:rFonts w:ascii="宋体" w:hAnsi="宋体" w:eastAsia="宋体" w:cs="宋体"/>
          <w:color w:val="auto"/>
        </w:rPr>
        <w:t>其三、围棋俱乐部通过误导、欺诈等方式，私自对朱小雨等学员个人信息进行处理，侵害了他们的个人信息权益。</w:t>
      </w:r>
    </w:p>
    <w:p w14:paraId="70FD3FF3">
      <w:pPr>
        <w:spacing w:line="360" w:lineRule="auto"/>
        <w:jc w:val="left"/>
      </w:pPr>
      <w:r>
        <w:rPr>
          <w:rFonts w:ascii="宋体" w:hAnsi="宋体" w:eastAsia="宋体" w:cs="宋体"/>
          <w:color w:val="auto"/>
        </w:rPr>
        <w:t>基于上述事实和理由，提出诉讼主张：围棋俱乐部应承担停止侵害、消除影响、赔礼道歉、赔偿损失等责任，并承担相应的精神损害赔偿责任。</w:t>
      </w:r>
    </w:p>
    <w:p w14:paraId="553E2279">
      <w:pPr>
        <w:spacing w:line="360" w:lineRule="auto"/>
        <w:jc w:val="left"/>
      </w:pPr>
      <w:r>
        <w:rPr>
          <w:color w:val="auto"/>
          <w:sz w:val="21"/>
        </w:rPr>
        <w:t>28.</w:t>
      </w:r>
      <w:r>
        <w:t>（1）</w:t>
      </w:r>
      <w:r>
        <w:rPr>
          <w:color w:val="auto"/>
        </w:rPr>
        <w:t>使用的推理：不完全归纳推理/归纳推理。 得出的结论：从整体上看，全球变暖正在发生。</w:t>
      </w:r>
      <w:r>
        <w:t xml:space="preserve">    </w:t>
      </w:r>
    </w:p>
    <w:p w14:paraId="260C1BAA">
      <w:pPr>
        <w:spacing w:line="360" w:lineRule="auto"/>
        <w:jc w:val="left"/>
      </w:pPr>
      <w:r>
        <w:t>（2）</w:t>
      </w:r>
      <w:r>
        <w:rPr>
          <w:color w:val="auto"/>
        </w:rPr>
        <w:t>反驳无效。辩证思维具有整体性特征，要求从整体上把握事物。乙的反驳违反了整体性原则，试图用个别的极寒事件否定全球变暖的整体趋势，但是个别极寒事件和全球变暖趋势不仅不矛盾，而且是后者的一部分，反驳无效。</w:t>
      </w:r>
    </w:p>
    <w:p w14:paraId="6232C057">
      <w:pPr>
        <w:spacing w:line="360" w:lineRule="auto"/>
        <w:jc w:val="left"/>
      </w:pPr>
      <w:r>
        <w:rPr>
          <w:color w:val="auto"/>
          <w:sz w:val="21"/>
        </w:rPr>
        <w:t>29.</w:t>
      </w:r>
      <w:r>
        <w:rPr>
          <w:rFonts w:ascii="宋体" w:hAnsi="宋体" w:eastAsia="宋体" w:cs="宋体"/>
          <w:color w:val="auto"/>
        </w:rPr>
        <w:t>(先为“公共外交”下定义，然后展开论述)。</w:t>
      </w:r>
    </w:p>
    <w:p w14:paraId="4F68FDE1">
      <w:pPr>
        <w:spacing w:line="360" w:lineRule="auto"/>
        <w:jc w:val="left"/>
      </w:pPr>
      <w:r>
        <w:rPr>
          <w:rFonts w:ascii="宋体" w:hAnsi="宋体" w:eastAsia="宋体" w:cs="宋体"/>
          <w:color w:val="auto"/>
        </w:rPr>
        <w:t>答案示例：同学们，大家好！</w:t>
      </w:r>
    </w:p>
    <w:p w14:paraId="6ECCE8B8">
      <w:pPr>
        <w:spacing w:line="360" w:lineRule="auto"/>
        <w:jc w:val="left"/>
      </w:pPr>
      <w:r>
        <w:rPr>
          <w:rFonts w:ascii="宋体" w:hAnsi="宋体" w:eastAsia="宋体" w:cs="宋体"/>
          <w:color w:val="auto"/>
        </w:rPr>
        <w:t>(什么是公共外交呢?)公共外交就是面向他国民众的外事交往活动。它与传统意义上的外事交往活动存在互补关系，既有共性，又有不同。</w:t>
      </w:r>
    </w:p>
    <w:p w14:paraId="728C2D47">
      <w:pPr>
        <w:spacing w:line="360" w:lineRule="auto"/>
        <w:jc w:val="left"/>
      </w:pPr>
      <w:r>
        <w:rPr>
          <w:rFonts w:ascii="宋体" w:hAnsi="宋体" w:eastAsia="宋体" w:cs="宋体"/>
          <w:color w:val="auto"/>
        </w:rPr>
        <w:t>(为什么要公共外交?)中法公共外交活动成效显著，有利于维护我国国家利益和中法共同利益塑造可亲可敬的中国形象，增进中法两国民众友谊。</w:t>
      </w:r>
    </w:p>
    <w:p w14:paraId="7043EC71">
      <w:pPr>
        <w:spacing w:line="360" w:lineRule="auto"/>
        <w:jc w:val="left"/>
      </w:pPr>
      <w:r>
        <w:rPr>
          <w:rFonts w:ascii="宋体" w:hAnsi="宋体" w:eastAsia="宋体" w:cs="宋体"/>
          <w:color w:val="auto"/>
        </w:rPr>
        <w:t>(如何参与公共外交?)青年学生参与公共外交时，要坚守中国立场，坚定维护国家利益，推动构建人类命运共同体。要积极参与、融入世界，体现青年学生的责任担当。要了解熟悉法国的文化、国情、国家制度和外交政策。要提高沟通能力和媒体应用能力，用辩证思维和超前思维认识中法两国关系及发展趋势。</w:t>
      </w:r>
    </w:p>
    <w:p w14:paraId="03094F49">
      <w:pPr>
        <w:spacing w:line="360" w:lineRule="auto"/>
        <w:jc w:val="left"/>
      </w:pPr>
      <w:r>
        <w:rPr>
          <w:rFonts w:ascii="宋体" w:hAnsi="宋体" w:eastAsia="宋体" w:cs="宋体"/>
          <w:color w:val="auto"/>
        </w:rPr>
        <w:t>让我们都行动起来，共同为中法公共外交贡献一份自己的微薄之力吧！</w:t>
      </w:r>
    </w:p>
    <w:sectPr>
      <w:headerReference r:id="rId3" w:type="default"/>
      <w:footerReference r:id="rId4" w:type="default"/>
      <w:pgSz w:w="11906" w:h="16838"/>
      <w:pgMar w:top="91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D9238">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14:paraId="025C653F">
    <w:pPr>
      <w:pStyle w:val="2"/>
    </w:pPr>
  </w:p>
  <w:p w14:paraId="17CE668D">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3"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4"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F6095">
    <w:pPr>
      <w:pStyle w:val="3"/>
      <w:pBdr>
        <w:bottom w:val="none" w:color="auto" w:sz="0" w:space="0"/>
      </w:pBdr>
    </w:pPr>
    <w:r>
      <w:rPr>
        <w:rFonts w:hint="eastAsia"/>
        <w:lang w:eastAsia="zh-CN"/>
      </w:rPr>
      <w:t>杨府山高复</w:t>
    </w:r>
    <w:r>
      <w:rPr>
        <w:rFonts w:hint="eastAsia"/>
        <w:lang w:val="en-US" w:eastAsia="zh-CN"/>
      </w:rPr>
      <w:t xml:space="preserve"> 微信420326747</w:t>
    </w:r>
    <w:r>
      <w:t xml:space="preserve">     </w:t>
    </w:r>
  </w:p>
  <w:p w14:paraId="4736DFDF">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7"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3ACC0861"/>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ascii="Calibri" w:hAnsi="Calibri" w:eastAsia="Microsoft YaHei UI" w:cs="Times New Roman"/>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2053"/>
    <customShpInfo spid="_x0000_s205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2</Pages>
  <Words>1573</Words>
  <Characters>1665</Characters>
  <Lines>0</Lines>
  <Paragraphs>0</Paragraphs>
  <TotalTime>0</TotalTime>
  <ScaleCrop>false</ScaleCrop>
  <LinksUpToDate>false</LinksUpToDate>
  <CharactersWithSpaces>1678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2025-03-06T21:40:00Z</dcterms:created>
  <dc:creator>学科网试题生产平台</dc:creator>
  <dc:description>3551711421390848</dc:description>
  <cp:lastModifiedBy>温州杨府山高复学校</cp:lastModifiedBy>
  <dcterms:modified xsi:type="dcterms:W3CDTF">2025-05-12T09:03:24Z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eyJoZGlkIjoiMDU1YWM1Y2M4MjY1MzExYzI5MzZiMTIzNzcwMWQ2NjIiLCJ1c2VySWQiOiIyNzgwOTYxODEifQ==</vt:lpwstr>
  </property>
  <property fmtid="{D5CDD505-2E9C-101B-9397-08002B2CF9AE}" pid="7" name="KSOProductBuildVer">
    <vt:lpwstr>2052-12.1.0.20784</vt:lpwstr>
  </property>
  <property fmtid="{D5CDD505-2E9C-101B-9397-08002B2CF9AE}" pid="8" name="ICV">
    <vt:lpwstr>A9378C3A7BAF45F3A66E446E3DAE538E_12</vt:lpwstr>
  </property>
</Properties>
</file>